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val="0"/>
        <w:autoSpaceDN/>
        <w:bidi w:val="0"/>
        <w:snapToGrid w:val="0"/>
        <w:spacing w:line="500" w:lineRule="atLeast"/>
        <w:jc w:val="center"/>
        <w:textAlignment w:val="auto"/>
        <w:outlineLvl w:val="9"/>
        <w:rPr>
          <w:rFonts w:hint="eastAsia" w:ascii="宋体" w:hAnsi="宋体" w:eastAsia="宋体" w:cs="宋体"/>
          <w:sz w:val="44"/>
          <w:szCs w:val="44"/>
        </w:rPr>
      </w:pPr>
      <w:r>
        <w:rPr>
          <w:rFonts w:hint="eastAsia" w:cs="Times New Roman" w:asciiTheme="majorEastAsia" w:hAnsiTheme="majorEastAsia" w:eastAsiaTheme="majorEastAsia"/>
          <w:sz w:val="44"/>
          <w:szCs w:val="44"/>
        </w:rPr>
        <w:t>《</w:t>
      </w:r>
      <w:r>
        <w:rPr>
          <w:rFonts w:hint="eastAsia" w:ascii="宋体" w:hAnsi="宋体" w:eastAsia="宋体" w:cs="宋体"/>
          <w:sz w:val="44"/>
          <w:szCs w:val="44"/>
        </w:rPr>
        <w:t>202</w:t>
      </w:r>
      <w:r>
        <w:rPr>
          <w:rFonts w:hint="eastAsia" w:ascii="宋体" w:hAnsi="宋体" w:eastAsia="宋体" w:cs="宋体"/>
          <w:sz w:val="44"/>
          <w:szCs w:val="44"/>
          <w:lang w:val="en-US" w:eastAsia="zh-CN"/>
        </w:rPr>
        <w:t>2</w:t>
      </w:r>
      <w:r>
        <w:rPr>
          <w:rFonts w:hint="eastAsia" w:ascii="宋体" w:hAnsi="宋体" w:eastAsia="宋体" w:cs="宋体"/>
          <w:sz w:val="44"/>
          <w:szCs w:val="44"/>
        </w:rPr>
        <w:t>年度</w:t>
      </w:r>
      <w:r>
        <w:rPr>
          <w:rFonts w:hint="eastAsia" w:ascii="宋体" w:hAnsi="宋体" w:eastAsia="宋体" w:cs="宋体"/>
          <w:sz w:val="44"/>
          <w:szCs w:val="44"/>
          <w:lang w:val="en-US" w:eastAsia="zh-CN"/>
        </w:rPr>
        <w:t>柳州市</w:t>
      </w:r>
      <w:r>
        <w:rPr>
          <w:rFonts w:hint="eastAsia" w:ascii="宋体" w:hAnsi="宋体" w:eastAsia="宋体" w:cs="宋体"/>
          <w:sz w:val="44"/>
          <w:szCs w:val="44"/>
          <w:lang w:eastAsia="zh-CN"/>
        </w:rPr>
        <w:t>柳南区</w:t>
      </w:r>
      <w:r>
        <w:rPr>
          <w:rFonts w:hint="eastAsia" w:ascii="宋体" w:hAnsi="宋体" w:eastAsia="宋体" w:cs="宋体"/>
          <w:sz w:val="44"/>
          <w:szCs w:val="44"/>
        </w:rPr>
        <w:t>农村危房改造</w:t>
      </w:r>
    </w:p>
    <w:p>
      <w:pPr>
        <w:pageBreakBefore w:val="0"/>
        <w:widowControl w:val="0"/>
        <w:kinsoku/>
        <w:wordWrap/>
        <w:overflowPunct/>
        <w:topLinePunct w:val="0"/>
        <w:autoSpaceDE w:val="0"/>
        <w:autoSpaceDN/>
        <w:bidi w:val="0"/>
        <w:snapToGrid w:val="0"/>
        <w:spacing w:line="500" w:lineRule="atLeast"/>
        <w:jc w:val="center"/>
        <w:textAlignment w:val="auto"/>
        <w:outlineLvl w:val="9"/>
        <w:rPr>
          <w:rFonts w:cs="Times New Roman" w:asciiTheme="majorEastAsia" w:hAnsiTheme="majorEastAsia" w:eastAsiaTheme="majorEastAsia"/>
          <w:sz w:val="44"/>
          <w:szCs w:val="44"/>
        </w:rPr>
      </w:pPr>
      <w:r>
        <w:rPr>
          <w:rFonts w:hint="eastAsia" w:ascii="宋体" w:hAnsi="宋体" w:eastAsia="宋体" w:cs="宋体"/>
          <w:sz w:val="44"/>
          <w:szCs w:val="44"/>
        </w:rPr>
        <w:t>实施方案</w:t>
      </w:r>
      <w:r>
        <w:rPr>
          <w:rFonts w:hint="eastAsia" w:cs="Times New Roman" w:asciiTheme="majorEastAsia" w:hAnsiTheme="majorEastAsia" w:eastAsiaTheme="majorEastAsia"/>
          <w:sz w:val="44"/>
          <w:szCs w:val="44"/>
        </w:rPr>
        <w:t>》政策解读</w:t>
      </w:r>
    </w:p>
    <w:p>
      <w:pPr>
        <w:rPr>
          <w:rFonts w:ascii="仿宋_GB2312" w:hAnsi="Times New Roman" w:eastAsia="仿宋_GB2312" w:cs="Times New Roman"/>
          <w:sz w:val="32"/>
          <w:szCs w:val="32"/>
        </w:rPr>
      </w:pPr>
    </w:p>
    <w:p>
      <w:pPr>
        <w:widowControl/>
        <w:shd w:val="clear" w:color="auto" w:fill="FFFFFF"/>
        <w:spacing w:line="360" w:lineRule="auto"/>
        <w:ind w:firstLine="643" w:firstLineChars="200"/>
        <w:jc w:val="left"/>
        <w:rPr>
          <w:rFonts w:ascii="仿宋_GB2312" w:hAnsi="Courier New" w:eastAsia="仿宋_GB2312" w:cs="Courier New"/>
          <w:b/>
          <w:kern w:val="0"/>
          <w:sz w:val="32"/>
          <w:szCs w:val="32"/>
        </w:rPr>
      </w:pPr>
      <w:r>
        <w:rPr>
          <w:rFonts w:hint="eastAsia" w:ascii="仿宋_GB2312" w:hAnsi="Courier New" w:eastAsia="仿宋_GB2312" w:cs="Courier New"/>
          <w:b/>
          <w:kern w:val="0"/>
          <w:sz w:val="32"/>
          <w:szCs w:val="32"/>
        </w:rPr>
        <w:t>一、出台《实施方案》的背景</w:t>
      </w:r>
    </w:p>
    <w:p>
      <w:pPr>
        <w:pageBreakBefore w:val="0"/>
        <w:widowControl w:val="0"/>
        <w:kinsoku/>
        <w:wordWrap/>
        <w:overflowPunct/>
        <w:topLinePunct w:val="0"/>
        <w:autoSpaceDE w:val="0"/>
        <w:autoSpaceDN/>
        <w:bidi w:val="0"/>
        <w:snapToGrid w:val="0"/>
        <w:spacing w:line="500" w:lineRule="atLeas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为深入实施农村危房改造，扎实</w:t>
      </w:r>
      <w:r>
        <w:rPr>
          <w:rFonts w:hint="eastAsia" w:ascii="仿宋" w:hAnsi="仿宋" w:eastAsia="仿宋" w:cs="仿宋"/>
          <w:sz w:val="32"/>
          <w:szCs w:val="32"/>
          <w:lang w:eastAsia="zh-CN"/>
        </w:rPr>
        <w:t>动态</w:t>
      </w:r>
      <w:r>
        <w:rPr>
          <w:rFonts w:hint="eastAsia" w:ascii="仿宋" w:hAnsi="仿宋" w:eastAsia="仿宋" w:cs="仿宋"/>
          <w:sz w:val="32"/>
          <w:szCs w:val="32"/>
        </w:rPr>
        <w:t>开展农村房屋安全隐患排查整治，切实保障人民群众生命财产安全，推进巩固拓展脱贫攻坚成果同乡村振兴有效衔接，结合我区实际，制定本方案。</w:t>
      </w:r>
    </w:p>
    <w:p>
      <w:pPr>
        <w:widowControl/>
        <w:shd w:val="clear" w:color="auto" w:fill="FFFFFF"/>
        <w:spacing w:line="360" w:lineRule="auto"/>
        <w:ind w:firstLine="643" w:firstLineChars="200"/>
        <w:jc w:val="left"/>
        <w:rPr>
          <w:rFonts w:ascii="仿宋_GB2312" w:hAnsi="Courier New" w:eastAsia="仿宋_GB2312" w:cs="Courier New"/>
          <w:b/>
          <w:kern w:val="0"/>
          <w:sz w:val="32"/>
          <w:szCs w:val="32"/>
        </w:rPr>
      </w:pPr>
      <w:r>
        <w:rPr>
          <w:rFonts w:hint="eastAsia" w:ascii="仿宋_GB2312" w:hAnsi="Courier New" w:eastAsia="仿宋_GB2312" w:cs="Courier New"/>
          <w:b/>
          <w:kern w:val="0"/>
          <w:sz w:val="32"/>
          <w:szCs w:val="32"/>
        </w:rPr>
        <w:t>二、《实施方案》的制定依据</w:t>
      </w:r>
    </w:p>
    <w:p>
      <w:pPr>
        <w:keepNext w:val="0"/>
        <w:keepLines w:val="0"/>
        <w:pageBreakBefore w:val="0"/>
        <w:widowControl w:val="0"/>
        <w:kinsoku/>
        <w:wordWrap/>
        <w:overflowPunct/>
        <w:topLinePunct w:val="0"/>
        <w:autoSpaceDE/>
        <w:autoSpaceDN/>
        <w:bidi w:val="0"/>
        <w:spacing w:line="510" w:lineRule="exact"/>
        <w:ind w:firstLine="640" w:firstLineChars="200"/>
        <w:jc w:val="both"/>
        <w:textAlignment w:val="auto"/>
        <w:outlineLvl w:val="9"/>
        <w:rPr>
          <w:rFonts w:ascii="仿宋_GB2312" w:hAnsi="Courier New" w:eastAsia="仿宋_GB2312" w:cs="Courier New"/>
          <w:bCs/>
          <w:color w:val="000000" w:themeColor="text1"/>
          <w:kern w:val="0"/>
          <w:sz w:val="32"/>
          <w:szCs w:val="32"/>
        </w:rPr>
      </w:pPr>
      <w:bookmarkStart w:id="0" w:name="标题"/>
      <w:r>
        <w:rPr>
          <w:rFonts w:hint="eastAsia" w:ascii="仿宋" w:hAnsi="仿宋" w:eastAsia="仿宋" w:cs="仿宋"/>
          <w:sz w:val="32"/>
          <w:szCs w:val="32"/>
          <w:lang w:eastAsia="zh-CN"/>
        </w:rPr>
        <w:t>《</w:t>
      </w:r>
      <w:r>
        <w:rPr>
          <w:rFonts w:hint="eastAsia" w:ascii="仿宋" w:hAnsi="仿宋" w:eastAsia="仿宋" w:cs="仿宋"/>
          <w:sz w:val="32"/>
          <w:szCs w:val="32"/>
        </w:rPr>
        <w:t>自治区住房城乡建设厅关于</w:t>
      </w:r>
      <w:r>
        <w:rPr>
          <w:rFonts w:hint="eastAsia" w:ascii="仿宋" w:hAnsi="仿宋" w:eastAsia="仿宋" w:cs="仿宋"/>
          <w:sz w:val="32"/>
          <w:szCs w:val="32"/>
          <w:lang w:eastAsia="zh-CN"/>
        </w:rPr>
        <w:t>印发</w:t>
      </w:r>
      <w:r>
        <w:rPr>
          <w:rFonts w:hint="eastAsia" w:ascii="仿宋" w:hAnsi="仿宋" w:eastAsia="仿宋" w:cs="仿宋"/>
          <w:sz w:val="32"/>
          <w:szCs w:val="32"/>
        </w:rPr>
        <w:t>2021年度广西农村危房改造实施方案的</w:t>
      </w:r>
      <w:bookmarkEnd w:id="0"/>
      <w:r>
        <w:rPr>
          <w:rFonts w:hint="eastAsia" w:ascii="仿宋" w:hAnsi="仿宋" w:eastAsia="仿宋" w:cs="仿宋"/>
          <w:sz w:val="32"/>
          <w:szCs w:val="32"/>
          <w:lang w:eastAsia="zh-CN"/>
        </w:rPr>
        <w:t>通知</w:t>
      </w:r>
      <w:r>
        <w:rPr>
          <w:rFonts w:hint="eastAsia" w:ascii="仿宋" w:hAnsi="仿宋" w:eastAsia="仿宋" w:cs="仿宋"/>
          <w:sz w:val="32"/>
          <w:szCs w:val="32"/>
          <w:lang w:eastAsia="zh-CN"/>
        </w:rPr>
        <w:t>》</w:t>
      </w:r>
      <w:r>
        <w:rPr>
          <w:rFonts w:hint="eastAsia" w:ascii="仿宋" w:hAnsi="仿宋" w:eastAsia="仿宋" w:cs="仿宋"/>
          <w:sz w:val="32"/>
          <w:szCs w:val="32"/>
          <w:lang w:eastAsia="zh-CN"/>
        </w:rPr>
        <w:t>（</w:t>
      </w:r>
      <w:r>
        <w:rPr>
          <w:rFonts w:hint="eastAsia" w:ascii="仿宋" w:hAnsi="仿宋" w:eastAsia="仿宋" w:cs="仿宋"/>
          <w:color w:val="000000"/>
          <w:sz w:val="32"/>
          <w:szCs w:val="32"/>
        </w:rPr>
        <w:t>桂建</w:t>
      </w:r>
      <w:r>
        <w:rPr>
          <w:rFonts w:hint="eastAsia" w:ascii="仿宋" w:hAnsi="仿宋" w:eastAsia="仿宋" w:cs="仿宋"/>
          <w:color w:val="000000"/>
          <w:sz w:val="32"/>
          <w:szCs w:val="32"/>
          <w:lang w:eastAsia="zh-CN"/>
        </w:rPr>
        <w:t>村镇</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w:t>
      </w:r>
      <w:r>
        <w:rPr>
          <w:rFonts w:hint="eastAsia" w:ascii="仿宋" w:hAnsi="仿宋" w:eastAsia="仿宋" w:cs="仿宋"/>
          <w:snapToGrid w:val="0"/>
          <w:color w:val="000000"/>
          <w:sz w:val="32"/>
          <w:szCs w:val="32"/>
          <w:lang w:val="en-US" w:eastAsia="zh-CN"/>
        </w:rPr>
        <w:t>5</w:t>
      </w:r>
      <w:r>
        <w:rPr>
          <w:rFonts w:hint="eastAsia" w:ascii="仿宋" w:hAnsi="仿宋" w:eastAsia="仿宋" w:cs="仿宋"/>
          <w:color w:val="000000"/>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关于印发《2021年度柳州市农村危房改造实施方案》的通知</w:t>
      </w:r>
      <w:r>
        <w:rPr>
          <w:rFonts w:hint="eastAsia" w:ascii="仿宋_GB2312" w:hAnsi="仿宋_GB2312" w:eastAsia="仿宋_GB2312" w:cs="仿宋_GB2312"/>
          <w:color w:val="000000" w:themeColor="text1"/>
          <w:kern w:val="0"/>
          <w:sz w:val="32"/>
          <w:szCs w:val="32"/>
        </w:rPr>
        <w:t>等</w:t>
      </w:r>
      <w:r>
        <w:rPr>
          <w:rFonts w:hint="eastAsia" w:ascii="仿宋_GB2312" w:hAnsi="Courier New" w:eastAsia="仿宋_GB2312" w:cs="Courier New"/>
          <w:bCs/>
          <w:color w:val="000000" w:themeColor="text1"/>
          <w:kern w:val="0"/>
          <w:sz w:val="32"/>
          <w:szCs w:val="32"/>
        </w:rPr>
        <w:t>。</w:t>
      </w:r>
    </w:p>
    <w:p>
      <w:pPr>
        <w:spacing w:line="360" w:lineRule="auto"/>
        <w:ind w:firstLine="643" w:firstLineChars="20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三、</w:t>
      </w:r>
      <w:r>
        <w:rPr>
          <w:rFonts w:hint="eastAsia" w:ascii="仿宋_GB2312" w:hAnsi="Times New Roman" w:eastAsia="仿宋_GB2312" w:cs="Times New Roman"/>
          <w:b/>
          <w:bCs/>
          <w:color w:val="000000" w:themeColor="text1"/>
          <w:sz w:val="32"/>
          <w:szCs w:val="32"/>
        </w:rPr>
        <w:t>《实施方案》的</w:t>
      </w:r>
      <w:r>
        <w:rPr>
          <w:rFonts w:hint="eastAsia" w:ascii="仿宋" w:hAnsi="仿宋" w:eastAsia="仿宋" w:cs="仿宋"/>
          <w:b/>
          <w:bCs/>
          <w:sz w:val="32"/>
          <w:szCs w:val="32"/>
        </w:rPr>
        <w:t>改造对象</w:t>
      </w:r>
    </w:p>
    <w:p>
      <w:pPr>
        <w:pageBreakBefore w:val="0"/>
        <w:widowControl w:val="0"/>
        <w:kinsoku/>
        <w:wordWrap/>
        <w:overflowPunct/>
        <w:topLinePunct w:val="0"/>
        <w:autoSpaceDE w:val="0"/>
        <w:autoSpaceDN/>
        <w:bidi w:val="0"/>
        <w:snapToGrid w:val="0"/>
        <w:spacing w:line="500" w:lineRule="atLeas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是巩固拓展脱贫攻坚成果方面。农村住房安全保障对象主要是农村低收入群体，包括农村易返贫致贫户、农村低保户、农村分散供养特困人员，以及因病因灾因意外事故等刚性支出较大或收入大幅缩减导致基本生活出现严重困难家庭等。二是接续推进乡村振兴方面。为保持农村危房改造政策和农村住房救助政策的延续性，对农村低保边缘家庭（农村低收入家庭）和未享受过农村住房保障政策支持且依靠自身力量无法解决住房安全问题的其他脱贫户给予支持</w:t>
      </w:r>
      <w:r>
        <w:rPr>
          <w:rFonts w:hint="eastAsia" w:ascii="仿宋" w:hAnsi="仿宋" w:eastAsia="仿宋" w:cs="仿宋"/>
          <w:sz w:val="32"/>
          <w:szCs w:val="32"/>
          <w:lang w:eastAsia="zh-CN"/>
        </w:rPr>
        <w:t>；</w:t>
      </w:r>
      <w:r>
        <w:rPr>
          <w:rFonts w:hint="eastAsia" w:ascii="仿宋" w:hAnsi="仿宋" w:eastAsia="仿宋" w:cs="仿宋"/>
          <w:color w:val="000000"/>
          <w:sz w:val="32"/>
          <w:szCs w:val="32"/>
        </w:rPr>
        <w:t>对一般户要根据《自治区住房城乡建设厅关于印发广西壮族自治区农村危房改造工程工作规程（2017年修订）的通知》（桂建发〔2018〕3号）</w:t>
      </w:r>
      <w:r>
        <w:rPr>
          <w:rFonts w:hint="eastAsia" w:ascii="仿宋" w:hAnsi="仿宋" w:eastAsia="仿宋" w:cs="仿宋"/>
          <w:color w:val="000000"/>
          <w:sz w:val="32"/>
          <w:szCs w:val="32"/>
          <w:lang w:eastAsia="zh-CN"/>
        </w:rPr>
        <w:t>明确的</w:t>
      </w:r>
      <w:r>
        <w:rPr>
          <w:rFonts w:hint="eastAsia" w:ascii="仿宋" w:hAnsi="仿宋" w:eastAsia="仿宋" w:cs="仿宋"/>
          <w:color w:val="000000"/>
          <w:sz w:val="32"/>
          <w:szCs w:val="32"/>
        </w:rPr>
        <w:t>5个“一票否决”的要求开展筛查，经</w:t>
      </w:r>
      <w:r>
        <w:rPr>
          <w:rFonts w:hint="eastAsia" w:ascii="仿宋" w:hAnsi="仿宋" w:eastAsia="仿宋" w:cs="仿宋"/>
          <w:color w:val="000000"/>
          <w:sz w:val="32"/>
          <w:szCs w:val="32"/>
          <w:lang w:eastAsia="zh-CN"/>
        </w:rPr>
        <w:t>镇政府（街道办事处）</w:t>
      </w:r>
      <w:r>
        <w:rPr>
          <w:rFonts w:hint="eastAsia" w:ascii="仿宋" w:hAnsi="仿宋" w:eastAsia="仿宋" w:cs="仿宋"/>
          <w:color w:val="000000"/>
          <w:sz w:val="32"/>
          <w:szCs w:val="32"/>
        </w:rPr>
        <w:t>筛查后不符合5个“一票否决”情形的一般户方可开展危房改造对象认定工作</w:t>
      </w:r>
      <w:r>
        <w:rPr>
          <w:rFonts w:hint="eastAsia" w:ascii="仿宋" w:hAnsi="仿宋" w:eastAsia="仿宋" w:cs="仿宋"/>
          <w:sz w:val="32"/>
          <w:szCs w:val="32"/>
        </w:rPr>
        <w:t>。</w:t>
      </w:r>
    </w:p>
    <w:p>
      <w:pPr>
        <w:spacing w:line="360" w:lineRule="auto"/>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四、《实施方案》的</w:t>
      </w:r>
      <w:r>
        <w:rPr>
          <w:rFonts w:hint="eastAsia" w:ascii="仿宋" w:hAnsi="仿宋" w:eastAsia="仿宋" w:cs="仿宋"/>
          <w:b/>
          <w:bCs/>
          <w:sz w:val="32"/>
          <w:szCs w:val="32"/>
        </w:rPr>
        <w:t>建设标准</w:t>
      </w:r>
    </w:p>
    <w:p>
      <w:pPr>
        <w:keepNext w:val="0"/>
        <w:keepLines w:val="0"/>
        <w:pageBreakBefore w:val="0"/>
        <w:widowControl w:val="0"/>
        <w:kinsoku/>
        <w:wordWrap/>
        <w:overflowPunct/>
        <w:topLinePunct w:val="0"/>
        <w:autoSpaceDE/>
        <w:autoSpaceDN/>
        <w:bidi w:val="0"/>
        <w:adjustRightInd/>
        <w:snapToGrid w:val="0"/>
        <w:spacing w:line="500" w:lineRule="atLeas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农村危房改造面积实行最低和最高限制。</w:t>
      </w:r>
    </w:p>
    <w:tbl>
      <w:tblPr>
        <w:tblStyle w:val="7"/>
        <w:tblW w:w="92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1229"/>
        <w:gridCol w:w="4397"/>
        <w:gridCol w:w="868"/>
        <w:gridCol w:w="2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序号</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基本</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原则</w:t>
            </w:r>
          </w:p>
        </w:tc>
        <w:tc>
          <w:tcPr>
            <w:tcW w:w="4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危改对象类别</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家庭</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人口</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建房面积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1</w:t>
            </w:r>
          </w:p>
        </w:tc>
        <w:tc>
          <w:tcPr>
            <w:tcW w:w="1229"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新建住房建筑面积原则上不低于人均13平方米；面积误差为5%。</w:t>
            </w:r>
          </w:p>
        </w:tc>
        <w:tc>
          <w:tcPr>
            <w:tcW w:w="43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农村易返贫致贫户</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农村低保户</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农村分散供养特困人员</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因病因灾因意外事故等刚性支出较大或收入大幅度缩减导致基本生活出现严重困难家庭等</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未享受过农村住房保障政策支持且依靠自身力量无法解决住房安全问题的其他脱贫户</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农村低保边缘户</w:t>
            </w:r>
            <w:r>
              <w:rPr>
                <w:rFonts w:hint="eastAsia" w:ascii="仿宋" w:hAnsi="仿宋" w:eastAsia="仿宋" w:cs="仿宋"/>
                <w:snapToGrid w:val="0"/>
                <w:color w:val="000000"/>
                <w:spacing w:val="-20"/>
                <w:kern w:val="0"/>
                <w:sz w:val="28"/>
                <w:szCs w:val="28"/>
                <w:lang w:eastAsia="zh-CN"/>
              </w:rPr>
              <w:t>、一般户</w:t>
            </w:r>
            <w:r>
              <w:rPr>
                <w:rFonts w:hint="eastAsia" w:ascii="仿宋" w:hAnsi="仿宋" w:eastAsia="仿宋" w:cs="仿宋"/>
                <w:snapToGrid w:val="0"/>
                <w:color w:val="000000"/>
                <w:spacing w:val="-20"/>
                <w:kern w:val="0"/>
                <w:sz w:val="28"/>
                <w:szCs w:val="28"/>
              </w:rPr>
              <w:t>等重点对象</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1人</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20—</w:t>
            </w:r>
            <w:r>
              <w:rPr>
                <w:rFonts w:hint="eastAsia" w:ascii="仿宋" w:hAnsi="仿宋" w:eastAsia="仿宋" w:cs="仿宋"/>
                <w:snapToGrid w:val="0"/>
                <w:color w:val="000000"/>
                <w:spacing w:val="-20"/>
                <w:kern w:val="0"/>
                <w:sz w:val="28"/>
                <w:szCs w:val="28"/>
              </w:rPr>
              <w:t>80平方米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2</w:t>
            </w:r>
          </w:p>
        </w:tc>
        <w:tc>
          <w:tcPr>
            <w:tcW w:w="1229"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4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2人</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lang w:val="en-US" w:eastAsia="zh-CN"/>
              </w:rPr>
              <w:t>30—</w:t>
            </w:r>
            <w:r>
              <w:rPr>
                <w:rFonts w:hint="eastAsia" w:ascii="仿宋" w:hAnsi="仿宋" w:eastAsia="仿宋" w:cs="仿宋"/>
                <w:snapToGrid w:val="0"/>
                <w:color w:val="000000"/>
                <w:spacing w:val="-20"/>
                <w:kern w:val="0"/>
                <w:sz w:val="28"/>
                <w:szCs w:val="28"/>
              </w:rPr>
              <w:t>80平方米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3</w:t>
            </w:r>
          </w:p>
        </w:tc>
        <w:tc>
          <w:tcPr>
            <w:tcW w:w="1229"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4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3人</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lang w:val="en-US" w:eastAsia="zh-CN"/>
              </w:rPr>
              <w:t>40—</w:t>
            </w:r>
            <w:r>
              <w:rPr>
                <w:rFonts w:hint="eastAsia" w:ascii="仿宋" w:hAnsi="仿宋" w:eastAsia="仿宋" w:cs="仿宋"/>
                <w:snapToGrid w:val="0"/>
                <w:color w:val="000000"/>
                <w:spacing w:val="-20"/>
                <w:kern w:val="0"/>
                <w:sz w:val="28"/>
                <w:szCs w:val="28"/>
              </w:rPr>
              <w:t>80平方米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4</w:t>
            </w:r>
          </w:p>
        </w:tc>
        <w:tc>
          <w:tcPr>
            <w:tcW w:w="1229"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4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≥4人</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人均</w:t>
            </w:r>
            <w:r>
              <w:rPr>
                <w:rFonts w:hint="eastAsia" w:ascii="仿宋" w:hAnsi="仿宋" w:eastAsia="仿宋" w:cs="仿宋"/>
                <w:snapToGrid w:val="0"/>
                <w:color w:val="000000"/>
                <w:spacing w:val="-20"/>
                <w:kern w:val="0"/>
                <w:sz w:val="28"/>
                <w:szCs w:val="28"/>
                <w:lang w:val="en-US" w:eastAsia="zh-CN"/>
              </w:rPr>
              <w:t>13—</w:t>
            </w:r>
            <w:r>
              <w:rPr>
                <w:rFonts w:hint="eastAsia" w:ascii="仿宋" w:hAnsi="仿宋" w:eastAsia="仿宋" w:cs="仿宋"/>
                <w:snapToGrid w:val="0"/>
                <w:color w:val="000000"/>
                <w:spacing w:val="-20"/>
                <w:kern w:val="0"/>
                <w:sz w:val="28"/>
                <w:szCs w:val="28"/>
              </w:rPr>
              <w:t>25平方米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5</w:t>
            </w:r>
          </w:p>
        </w:tc>
        <w:tc>
          <w:tcPr>
            <w:tcW w:w="1229"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43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无自筹能力需政府兜底户</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1人</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＜40平方米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6</w:t>
            </w:r>
          </w:p>
        </w:tc>
        <w:tc>
          <w:tcPr>
            <w:tcW w:w="1229"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4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2—4人（含4人）</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≤60平方米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trPr>
        <w:tc>
          <w:tcPr>
            <w:tcW w:w="5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7</w:t>
            </w:r>
          </w:p>
        </w:tc>
        <w:tc>
          <w:tcPr>
            <w:tcW w:w="1229"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4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color w:val="000000"/>
                <w:sz w:val="28"/>
                <w:szCs w:val="28"/>
              </w:rPr>
              <w:t>≥5人</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控制在人均13—14平方米之间</w:t>
            </w:r>
          </w:p>
        </w:tc>
      </w:tr>
    </w:tbl>
    <w:p>
      <w:pPr>
        <w:spacing w:line="360" w:lineRule="auto"/>
        <w:ind w:firstLine="640" w:firstLineChars="200"/>
        <w:rPr>
          <w:rFonts w:ascii="仿宋_GB2312" w:hAnsi="仿宋_GB2312" w:eastAsia="仿宋_GB2312" w:cs="仿宋_GB2312"/>
          <w:color w:val="000000" w:themeColor="text1"/>
          <w:sz w:val="32"/>
          <w:szCs w:val="32"/>
        </w:rPr>
      </w:pPr>
    </w:p>
    <w:p>
      <w:pPr>
        <w:spacing w:line="360" w:lineRule="auto"/>
        <w:ind w:firstLine="643" w:firstLineChars="200"/>
        <w:rPr>
          <w:rFonts w:hint="eastAsia" w:ascii="仿宋" w:hAnsi="仿宋" w:eastAsia="仿宋" w:cs="仿宋"/>
          <w:sz w:val="32"/>
          <w:szCs w:val="32"/>
        </w:rPr>
      </w:pPr>
      <w:r>
        <w:rPr>
          <w:rFonts w:hint="eastAsia" w:ascii="仿宋_GB2312" w:hAnsi="仿宋_GB2312" w:eastAsia="仿宋_GB2312" w:cs="仿宋_GB2312"/>
          <w:b/>
          <w:color w:val="000000" w:themeColor="text1"/>
          <w:sz w:val="32"/>
          <w:szCs w:val="32"/>
        </w:rPr>
        <w:t>五、</w:t>
      </w:r>
      <w:r>
        <w:rPr>
          <w:rFonts w:hint="eastAsia" w:ascii="仿宋_GB2312" w:hAnsi="Times New Roman" w:eastAsia="仿宋_GB2312" w:cs="Times New Roman"/>
          <w:b/>
          <w:bCs/>
          <w:sz w:val="32"/>
          <w:szCs w:val="32"/>
        </w:rPr>
        <w:t>《实施方案》的</w:t>
      </w:r>
      <w:r>
        <w:rPr>
          <w:rFonts w:hint="eastAsia" w:ascii="仿宋" w:hAnsi="仿宋" w:eastAsia="仿宋" w:cs="仿宋"/>
          <w:b/>
          <w:bCs/>
          <w:sz w:val="32"/>
          <w:szCs w:val="32"/>
        </w:rPr>
        <w:t>补助标准</w:t>
      </w:r>
      <w:bookmarkStart w:id="1" w:name="_GoBack"/>
      <w:bookmarkEnd w:id="1"/>
    </w:p>
    <w:tbl>
      <w:tblPr>
        <w:tblStyle w:val="7"/>
        <w:tblW w:w="91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4509"/>
        <w:gridCol w:w="1845"/>
        <w:gridCol w:w="2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5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序号</w:t>
            </w:r>
          </w:p>
        </w:tc>
        <w:tc>
          <w:tcPr>
            <w:tcW w:w="450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类</w:t>
            </w:r>
            <w:r>
              <w:rPr>
                <w:rFonts w:hint="eastAsia" w:ascii="仿宋" w:hAnsi="仿宋" w:eastAsia="仿宋" w:cs="仿宋"/>
                <w:snapToGrid w:val="0"/>
                <w:color w:val="000000"/>
                <w:kern w:val="0"/>
                <w:sz w:val="28"/>
                <w:szCs w:val="28"/>
                <w:lang w:val="en-US" w:eastAsia="zh-CN"/>
              </w:rPr>
              <w:t xml:space="preserve">  </w:t>
            </w:r>
            <w:r>
              <w:rPr>
                <w:rFonts w:hint="eastAsia" w:ascii="仿宋" w:hAnsi="仿宋" w:eastAsia="仿宋" w:cs="仿宋"/>
                <w:snapToGrid w:val="0"/>
                <w:color w:val="000000"/>
                <w:kern w:val="0"/>
                <w:sz w:val="28"/>
                <w:szCs w:val="28"/>
              </w:rPr>
              <w:t>别</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补助标准</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（万元）</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outlineLvl w:val="9"/>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5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1</w:t>
            </w:r>
          </w:p>
        </w:tc>
        <w:tc>
          <w:tcPr>
            <w:tcW w:w="450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rPr>
              <w:t>农村易返贫致贫户</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农村低保户</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农村分散供养特困人员</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因病因灾因意外事故等刚性支出较大或收入大幅度缩减导致基本生活出现严重困难家庭等</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未享受过农村住房保障政策支持且依靠自身力量无法解决住房安全问题的其他脱贫户</w:t>
            </w:r>
            <w:r>
              <w:rPr>
                <w:rFonts w:hint="eastAsia" w:ascii="仿宋" w:hAnsi="仿宋" w:eastAsia="仿宋" w:cs="仿宋"/>
                <w:snapToGrid w:val="0"/>
                <w:color w:val="000000"/>
                <w:spacing w:val="-20"/>
                <w:kern w:val="0"/>
                <w:sz w:val="28"/>
                <w:szCs w:val="28"/>
                <w:lang w:eastAsia="zh-CN"/>
              </w:rPr>
              <w:t>、</w:t>
            </w:r>
            <w:r>
              <w:rPr>
                <w:rFonts w:hint="eastAsia" w:ascii="仿宋" w:hAnsi="仿宋" w:eastAsia="仿宋" w:cs="仿宋"/>
                <w:snapToGrid w:val="0"/>
                <w:color w:val="000000"/>
                <w:spacing w:val="-20"/>
                <w:kern w:val="0"/>
                <w:sz w:val="28"/>
                <w:szCs w:val="28"/>
              </w:rPr>
              <w:t>农村低保边缘户等重点对象</w:t>
            </w:r>
            <w:r>
              <w:rPr>
                <w:rFonts w:hint="eastAsia" w:ascii="仿宋" w:hAnsi="仿宋" w:eastAsia="仿宋" w:cs="仿宋"/>
                <w:snapToGrid w:val="0"/>
                <w:color w:val="000000"/>
                <w:spacing w:val="-20"/>
                <w:kern w:val="0"/>
                <w:sz w:val="28"/>
                <w:szCs w:val="28"/>
                <w:lang w:eastAsia="zh-CN"/>
              </w:rPr>
              <w:t>新建</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3.2</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5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2</w:t>
            </w:r>
          </w:p>
        </w:tc>
        <w:tc>
          <w:tcPr>
            <w:tcW w:w="450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一般户</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1.9</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3" w:hRule="atLeast"/>
        </w:trPr>
        <w:tc>
          <w:tcPr>
            <w:tcW w:w="5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3</w:t>
            </w:r>
          </w:p>
        </w:tc>
        <w:tc>
          <w:tcPr>
            <w:tcW w:w="450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C级危房维修加固农户</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按实际工程费用补贴，最高1.6万元。</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仅补助房屋加固改造。禁止单独进行粉刷、装饰和外立面改造等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lang w:val="en-US" w:eastAsia="zh-CN"/>
              </w:rPr>
            </w:pPr>
            <w:r>
              <w:rPr>
                <w:rFonts w:hint="eastAsia" w:ascii="仿宋" w:hAnsi="仿宋" w:eastAsia="仿宋" w:cs="仿宋"/>
                <w:snapToGrid w:val="0"/>
                <w:color w:val="000000"/>
                <w:spacing w:val="-20"/>
                <w:kern w:val="0"/>
                <w:sz w:val="28"/>
                <w:szCs w:val="28"/>
                <w:lang w:val="en-US" w:eastAsia="zh-CN"/>
              </w:rPr>
              <w:t>4</w:t>
            </w:r>
          </w:p>
        </w:tc>
        <w:tc>
          <w:tcPr>
            <w:tcW w:w="450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无自筹能力需政府兜底户</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按0.1万元/㎡进行建设。</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both"/>
              <w:textAlignment w:val="auto"/>
              <w:outlineLvl w:val="9"/>
              <w:rPr>
                <w:rFonts w:hint="eastAsia"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资金由政府统筹，不向保障对象发放。房子使用权归村集体所有。</w:t>
            </w:r>
          </w:p>
        </w:tc>
      </w:tr>
    </w:tbl>
    <w:p>
      <w:pPr>
        <w:spacing w:line="360" w:lineRule="auto"/>
        <w:ind w:firstLine="482" w:firstLineChars="150"/>
        <w:rPr>
          <w:rFonts w:ascii="仿宋_GB2312" w:hAnsi="Times New Roman" w:eastAsia="仿宋_GB2312"/>
          <w:b/>
          <w:bCs/>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DE"/>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Lao UI">
    <w:panose1 w:val="020B0502040204020203"/>
    <w:charset w:val="00"/>
    <w:family w:val="auto"/>
    <w:pitch w:val="default"/>
    <w:sig w:usb0="02000003"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Segoe Print">
    <w:panose1 w:val="02000600000000000000"/>
    <w:charset w:val="00"/>
    <w:family w:val="auto"/>
    <w:pitch w:val="default"/>
    <w:sig w:usb0="0000028F" w:usb1="00000000" w:usb2="00000000" w:usb3="00000000" w:csb0="2000009F" w:csb1="47010000"/>
  </w:font>
  <w:font w:name="Simplified Arabic Fixed">
    <w:panose1 w:val="02070309020205020404"/>
    <w:charset w:val="00"/>
    <w:family w:val="auto"/>
    <w:pitch w:val="default"/>
    <w:sig w:usb0="00002003" w:usb1="00000000" w:usb2="00000000" w:usb3="00000000" w:csb0="00000041" w:csb1="2008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v:path/>
          <v:fill on="f" focussize="0,0"/>
          <v:stroke on="f" weight="0.5pt" joinstyle="miter"/>
          <v:imagedata o:title=""/>
          <o:lock v:ext="edit"/>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JjZGVmYmQxNDZhNmJhYzRkZDYwNTg5NmE0Y2IyNzIifQ=="/>
  </w:docVars>
  <w:rsids>
    <w:rsidRoot w:val="00172A27"/>
    <w:rsid w:val="000B1B5F"/>
    <w:rsid w:val="00140F38"/>
    <w:rsid w:val="00151C0E"/>
    <w:rsid w:val="00172A27"/>
    <w:rsid w:val="001B5682"/>
    <w:rsid w:val="00202A89"/>
    <w:rsid w:val="002D49B4"/>
    <w:rsid w:val="0030466C"/>
    <w:rsid w:val="003A0D43"/>
    <w:rsid w:val="003B5472"/>
    <w:rsid w:val="003E68EE"/>
    <w:rsid w:val="004B4D99"/>
    <w:rsid w:val="004E2C2C"/>
    <w:rsid w:val="0054273C"/>
    <w:rsid w:val="00565B4C"/>
    <w:rsid w:val="00663C10"/>
    <w:rsid w:val="006B4501"/>
    <w:rsid w:val="00742286"/>
    <w:rsid w:val="008E5D27"/>
    <w:rsid w:val="00910934"/>
    <w:rsid w:val="00941F5E"/>
    <w:rsid w:val="00983F39"/>
    <w:rsid w:val="00A079D1"/>
    <w:rsid w:val="00B8055E"/>
    <w:rsid w:val="00BC0E99"/>
    <w:rsid w:val="00BE5DE5"/>
    <w:rsid w:val="00C36893"/>
    <w:rsid w:val="00C660A4"/>
    <w:rsid w:val="00CA0A1A"/>
    <w:rsid w:val="00CC0603"/>
    <w:rsid w:val="00D249BE"/>
    <w:rsid w:val="00E074B7"/>
    <w:rsid w:val="00F16E0D"/>
    <w:rsid w:val="00F20B76"/>
    <w:rsid w:val="00F65B13"/>
    <w:rsid w:val="00F8445E"/>
    <w:rsid w:val="00FC1513"/>
    <w:rsid w:val="00FC3AC1"/>
    <w:rsid w:val="00FE477E"/>
    <w:rsid w:val="086464FE"/>
    <w:rsid w:val="0ADC1E4B"/>
    <w:rsid w:val="13DB6242"/>
    <w:rsid w:val="15641A79"/>
    <w:rsid w:val="1A72379B"/>
    <w:rsid w:val="1BBC6069"/>
    <w:rsid w:val="1BC950B3"/>
    <w:rsid w:val="1CED168E"/>
    <w:rsid w:val="231D70CE"/>
    <w:rsid w:val="255F5761"/>
    <w:rsid w:val="2B596216"/>
    <w:rsid w:val="2BE11CB9"/>
    <w:rsid w:val="2C766A36"/>
    <w:rsid w:val="2C8E3C77"/>
    <w:rsid w:val="2FCC2D08"/>
    <w:rsid w:val="35D66B0B"/>
    <w:rsid w:val="37AC5965"/>
    <w:rsid w:val="3B2F0B20"/>
    <w:rsid w:val="3B951587"/>
    <w:rsid w:val="3DC707C3"/>
    <w:rsid w:val="3E8C75AE"/>
    <w:rsid w:val="43791873"/>
    <w:rsid w:val="48E955DD"/>
    <w:rsid w:val="4986599E"/>
    <w:rsid w:val="4E580AE2"/>
    <w:rsid w:val="4F202CC5"/>
    <w:rsid w:val="51FC0158"/>
    <w:rsid w:val="56D0253B"/>
    <w:rsid w:val="5A791D47"/>
    <w:rsid w:val="5AED4A1B"/>
    <w:rsid w:val="613F24E3"/>
    <w:rsid w:val="62EB3EA4"/>
    <w:rsid w:val="696B3155"/>
    <w:rsid w:val="6E604625"/>
    <w:rsid w:val="75F4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ordia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rFonts w:ascii="Calibri" w:hAnsi="Calibri"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1577</Words>
  <Characters>1597</Characters>
  <Lines>1</Lines>
  <Paragraphs>3</Paragraphs>
  <TotalTime>2</TotalTime>
  <ScaleCrop>false</ScaleCrop>
  <LinksUpToDate>false</LinksUpToDate>
  <CharactersWithSpaces>1603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2019-03-29T02:59:00Z</dcterms:created>
  <dc:creator>罗晟</dc:creator>
  <cp:lastModifiedBy>温暖</cp:lastModifiedBy>
  <cp:lastPrinted>2019-07-10T09:12:00Z</cp:lastPrinted>
  <dcterms:modified xsi:type="dcterms:W3CDTF">2022-06-21T03:03:03Z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21AA5AC0B41243F393E6C43FD6B3F3C7</vt:lpwstr>
  </property>
</Properties>
</file>