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柳南区</w:t>
      </w:r>
      <w:r>
        <w:rPr>
          <w:rFonts w:hint="eastAsia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审计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局执法主体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leftChars="0" w:right="0" w:firstLine="638" w:firstLineChars="266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执法主体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柳州市柳南区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审计局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60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执法权限：直接审计下列事项，出具审计报告，在法定职权范围内做出审计决定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1.国家、自治区、柳州市和柳南区有关重大政策措施贯彻落实情况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2.区本级预算执行情况和其他财政收支，区各机关各部门(含直属单位)预算的执行情况、决算草案和其他财政收支，上级财政转移支付资金。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3.使用本级财政资金的事业单位和社会团体的财务收支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4.区人民政府投资和以区人民政府投资为主的建设项目的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预算执行情况和决算；区人民政府重大公共工程项目的资金管理使用和建设运营情况；区人民政府自然资源管理、污染防治和生态保护与修复情况。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5.区属国有企业、区属国有资本占控股或主导地位的企业的资产、负债和损益。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6.区人民政府部门管理的和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他单位受区人民政府委托管理的社会保障基金、社会捐赠资金及其他有关基金、资金的财务收支。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720" w:firstLineChars="30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7.法律法规规定的其他事项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60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执法区域：柳州市柳南辖区。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60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执法人员资格及联系方式：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59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黄艳华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柳州市柳南区审计局副局长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，有广西壮族自治区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行政执法证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0772-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725221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59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59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黄柳香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柳州市柳南区审计局副局长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，有广西壮族自治区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行政执法证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0772-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725226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59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王含宇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柳州市柳南区审计局科员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，有广西壮族自治区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行政执法证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0772-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722996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2" w:lineRule="atLeast"/>
        <w:ind w:left="0" w:right="0" w:firstLine="590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3.聂玉凤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柳州市柳南区审计局科员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，有广西壮族自治区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行政执法证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，联系电话：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0772-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715710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95367"/>
    <w:rsid w:val="37F76921"/>
    <w:rsid w:val="3FA85999"/>
    <w:rsid w:val="7D8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2019-12-12T01:59:00Z</dcterms:created>
  <dc:creator>发短短钱多多人爱爱阿色色</dc:creator>
  <cp:lastModifiedBy>、Mitty</cp:lastModifiedBy>
  <dcterms:modified xsi:type="dcterms:W3CDTF">2021-09-22T08:37:49Z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B976DC4E2FFA4B5F9D9EB420B66A66C2</vt:lpwstr>
  </property>
</Properties>
</file>