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柳南区市场监督管理局撤销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柳州市恒楠冶金炉料有限公司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登记决定书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8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桂柳南市监撤字〔202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〕第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当事人：</w:t>
      </w:r>
      <w:r>
        <w:rPr>
          <w:rFonts w:hint="eastAsia" w:ascii="仿宋_GB2312" w:hAnsi="Times New Roman" w:eastAsia="仿宋_GB2312" w:cs="Times New Roman"/>
          <w:sz w:val="32"/>
          <w:szCs w:val="32"/>
          <w:u w:val="none" w:color="auto"/>
          <w:lang w:val="en-US" w:eastAsia="zh-CN"/>
        </w:rPr>
        <w:t>柳州市恒楠冶金炉料有限公司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9145020432737360X8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法定代表人（负责人）：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郭远均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住所（经营场所）：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柳州市潭中西路16号金都汇2栋1单元8-10号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  <w:u w:val="none" w:color="auto"/>
          <w:lang w:val="en-US" w:eastAsia="zh-CN"/>
        </w:rPr>
        <w:t>郭远均</w:t>
      </w: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局反映本人身份</w:t>
      </w:r>
      <w:r>
        <w:rPr>
          <w:rFonts w:hint="eastAsia" w:ascii="仿宋_GB2312" w:eastAsia="仿宋_GB2312"/>
          <w:sz w:val="32"/>
          <w:szCs w:val="32"/>
          <w:lang w:eastAsia="zh-CN"/>
        </w:rPr>
        <w:t>证</w:t>
      </w:r>
      <w:r>
        <w:rPr>
          <w:rFonts w:hint="eastAsia" w:ascii="仿宋_GB2312" w:eastAsia="仿宋_GB2312"/>
          <w:sz w:val="32"/>
          <w:szCs w:val="32"/>
        </w:rPr>
        <w:t>被冒用办理市场主体登记，并提交相应材料。</w:t>
      </w:r>
      <w:r>
        <w:rPr>
          <w:rFonts w:hint="eastAsia" w:ascii="仿宋_GB2312" w:eastAsia="仿宋_GB2312"/>
          <w:sz w:val="32"/>
          <w:szCs w:val="32"/>
          <w:lang w:eastAsia="zh-CN"/>
        </w:rPr>
        <w:t>本局对你公司在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办理注册登记过程中，涉嫌冒用</w:t>
      </w:r>
      <w:r>
        <w:rPr>
          <w:rFonts w:hint="eastAsia" w:ascii="仿宋_GB2312" w:hAnsi="Times New Roman" w:eastAsia="仿宋_GB2312" w:cs="Times New Roman"/>
          <w:sz w:val="32"/>
          <w:szCs w:val="32"/>
          <w:u w:val="none" w:color="auto"/>
          <w:lang w:val="en-US" w:eastAsia="zh-CN"/>
        </w:rPr>
        <w:t>郭远均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信息将其登记为</w:t>
      </w:r>
      <w:r>
        <w:rPr>
          <w:rFonts w:hint="eastAsia" w:ascii="仿宋_GB2312" w:hAnsi="Times New Roman" w:eastAsia="仿宋_GB2312" w:cs="Times New Roman"/>
          <w:sz w:val="32"/>
          <w:szCs w:val="32"/>
          <w:u w:val="none" w:color="auto"/>
          <w:lang w:val="en-US" w:eastAsia="zh-CN"/>
        </w:rPr>
        <w:t>柳州市恒楠冶金炉料有限公司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法定代表人、股东的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行为进行了调查。经查，通过登记住所无法与你公司取得联系。通过国家企业信用信息公示系统向社会公示相关信息，公示期内，相关市场主体及其利害关系人没有提出异议。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以上事实，主要有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以下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材料予以证实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申请人</w:t>
      </w:r>
      <w:r>
        <w:rPr>
          <w:rFonts w:hint="eastAsia" w:ascii="仿宋_GB2312" w:hAnsi="Times New Roman" w:eastAsia="仿宋_GB2312" w:cs="Times New Roman"/>
          <w:sz w:val="32"/>
          <w:szCs w:val="32"/>
          <w:u w:val="none" w:color="auto"/>
          <w:lang w:val="en-US" w:eastAsia="zh-CN"/>
        </w:rPr>
        <w:t>郭远均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提供的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平南县公安局马练派出所出具的身份证遗失证明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柳州市明桂司法鉴定中心出具的《司法鉴定意见书》（明桂司鉴中心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[2023]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文鉴字第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），证实</w:t>
      </w:r>
      <w:r>
        <w:rPr>
          <w:rFonts w:hint="eastAsia" w:ascii="仿宋_GB2312" w:hAnsi="Times New Roman" w:eastAsia="仿宋_GB2312" w:cs="Times New Roman"/>
          <w:sz w:val="32"/>
          <w:szCs w:val="32"/>
          <w:u w:val="none" w:color="auto"/>
          <w:lang w:val="en-US" w:eastAsia="zh-CN"/>
        </w:rPr>
        <w:t>郭远均</w:t>
      </w:r>
      <w:r>
        <w:rPr>
          <w:rFonts w:hint="eastAsia" w:ascii="仿宋_GB2312" w:eastAsia="仿宋_GB2312" w:cs="Times New Roman"/>
          <w:sz w:val="32"/>
          <w:szCs w:val="32"/>
          <w:u w:val="none" w:color="auto"/>
          <w:lang w:val="en-US" w:eastAsia="zh-CN"/>
        </w:rPr>
        <w:t>在</w:t>
      </w:r>
      <w:r>
        <w:rPr>
          <w:rFonts w:hint="default" w:ascii="仿宋_GB2312" w:eastAsia="仿宋_GB2312" w:cs="Times New Roman"/>
          <w:sz w:val="32"/>
          <w:szCs w:val="32"/>
          <w:u w:val="none" w:color="auto"/>
          <w:lang w:val="en-US" w:eastAsia="zh-CN"/>
        </w:rPr>
        <w:t>2013</w:t>
      </w:r>
      <w:r>
        <w:rPr>
          <w:rFonts w:hint="eastAsia" w:ascii="仿宋_GB2312" w:eastAsia="仿宋_GB2312" w:cs="Times New Roman"/>
          <w:sz w:val="32"/>
          <w:szCs w:val="32"/>
          <w:u w:val="none" w:color="auto"/>
          <w:lang w:val="en-US" w:eastAsia="zh-CN"/>
        </w:rPr>
        <w:t>年遗失身份证，且</w:t>
      </w:r>
      <w:r>
        <w:rPr>
          <w:rFonts w:hint="eastAsia" w:ascii="仿宋_GB2312" w:hAnsi="Times New Roman" w:eastAsia="仿宋_GB2312" w:cs="Times New Roman"/>
          <w:sz w:val="32"/>
          <w:szCs w:val="32"/>
          <w:u w:val="none" w:color="auto"/>
          <w:lang w:val="en-US" w:eastAsia="zh-CN"/>
        </w:rPr>
        <w:t>柳州市恒楠冶金炉料有限公司</w:t>
      </w:r>
      <w:r>
        <w:rPr>
          <w:rFonts w:hint="eastAsia" w:ascii="仿宋_GB2312" w:eastAsia="仿宋_GB2312" w:cs="Times New Roman"/>
          <w:sz w:val="32"/>
          <w:szCs w:val="32"/>
          <w:u w:val="none" w:color="auto"/>
          <w:lang w:val="en-US" w:eastAsia="zh-CN"/>
        </w:rPr>
        <w:t>设立登记时，向登记机关提交的材料中《指定代表或者共同委托代理人授权委托书》中申请人的签字是虚假；</w:t>
      </w:r>
      <w:r>
        <w:rPr>
          <w:rFonts w:hint="default" w:ascii="仿宋_GB2312" w:eastAsia="仿宋_GB2312" w:cs="Times New Roman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eastAsia="仿宋_GB2312" w:cs="Times New Roman"/>
          <w:sz w:val="32"/>
          <w:szCs w:val="32"/>
          <w:u w:val="none" w:color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现场笔录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证实</w:t>
      </w:r>
      <w:r>
        <w:rPr>
          <w:rFonts w:hint="eastAsia" w:ascii="仿宋_GB2312" w:hAnsi="Times New Roman" w:eastAsia="仿宋_GB2312" w:cs="Times New Roman"/>
          <w:sz w:val="32"/>
          <w:szCs w:val="32"/>
          <w:u w:val="none" w:color="auto"/>
          <w:lang w:val="en-US" w:eastAsia="zh-CN"/>
        </w:rPr>
        <w:t>柳州市恒楠冶金炉料有限公司</w:t>
      </w:r>
      <w:r>
        <w:rPr>
          <w:rFonts w:hint="eastAsia" w:ascii="仿宋_GB2312" w:eastAsia="仿宋_GB2312" w:cs="Times New Roman"/>
          <w:sz w:val="32"/>
          <w:szCs w:val="32"/>
          <w:u w:val="none" w:color="auto"/>
          <w:lang w:val="en-US" w:eastAsia="zh-CN"/>
        </w:rPr>
        <w:t>未在登记住所经营；</w:t>
      </w:r>
      <w:r>
        <w:rPr>
          <w:rFonts w:hint="default" w:ascii="仿宋_GB2312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u w:val="none" w:color="auto"/>
          <w:lang w:eastAsia="zh-CN"/>
        </w:rPr>
        <w:t>国家税务总局柳州市柳南区税务局出具的《复函》，证明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柳州市恒楠冶金炉料有限公司</w:t>
      </w:r>
      <w:r>
        <w:rPr>
          <w:rFonts w:hint="eastAsia" w:ascii="仿宋_GB2312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未有欠税行为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我局于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“广西柳州市柳南区人民政府门户网站”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公告《撤销冒名登记听证告知书》（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桂柳南市监撤听告字〔202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），告知当事人本局拟作出的撤销冒名登记决定的事实、理由、依据及撤销登记内容。当事人及利害关系人在法定时限内未提出陈述、申辩和听证要求。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根据《中华人民共和国行政许可法》第六十九条第二款、《中华人民共和国市场主体登记管理条例》第四十条、《市场监督管理行政许可程序暂行规定》第四十一条，本局决定撤销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  <w:u w:val="none" w:color="auto"/>
          <w:lang w:val="en-US" w:eastAsia="zh-CN"/>
        </w:rPr>
        <w:t>柳州市恒楠冶金炉料有限公司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的设立登记。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如对本决定持有异议，可以自收到本决定书之日起60日内向柳南区人民政府申请行政复议，也可以自收到本决定书之日起六个月内，向柳州市柳北区人民法院</w:t>
      </w:r>
      <w:r>
        <w:rPr>
          <w:rFonts w:hint="eastAsia" w:ascii="仿宋_GB2312" w:eastAsia="仿宋_GB2312"/>
          <w:sz w:val="32"/>
          <w:szCs w:val="32"/>
        </w:rPr>
        <w:t>提起行政诉讼。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before="1" w:line="253" w:lineRule="auto"/>
        <w:ind w:right="126" w:firstLine="640" w:firstLineChars="200"/>
        <w:rPr>
          <w:rFonts w:ascii="Malgun Gothic"/>
          <w:sz w:val="21"/>
        </w:rPr>
      </w:pPr>
      <w:r>
        <w:rPr>
          <w:rFonts w:hint="eastAsia" w:ascii="仿宋_GB2312" w:hAnsi="仿宋_GB2312" w:eastAsia="仿宋_GB2312" w:cs="仿宋_GB2312"/>
          <w:color w:val="191919"/>
          <w:spacing w:val="0"/>
          <w:w w:val="100"/>
          <w:kern w:val="0"/>
          <w:sz w:val="32"/>
          <w:szCs w:val="32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-58" w:firstLine="3840" w:firstLineChars="1200"/>
        <w:textAlignment w:val="auto"/>
        <w:rPr>
          <w:rFonts w:hint="eastAsia" w:ascii="仿宋_GB2312" w:eastAsia="仿宋_GB2312" w:cs="仿宋"/>
          <w:sz w:val="32"/>
          <w:szCs w:val="32"/>
        </w:rPr>
      </w:pP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"/>
          <w:color w:val="000000"/>
          <w:sz w:val="32"/>
          <w:szCs w:val="32"/>
        </w:rPr>
        <w:t>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州市柳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南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区</w:t>
      </w:r>
      <w:r>
        <w:rPr>
          <w:rFonts w:hint="eastAsia" w:ascii="仿宋_GB2312" w:eastAsia="仿宋_GB2312" w:cs="仿宋"/>
          <w:color w:val="000000"/>
          <w:sz w:val="32"/>
          <w:szCs w:val="32"/>
        </w:rPr>
        <w:t>市场监督管理局</w:t>
      </w:r>
      <w:r>
        <w:rPr>
          <w:rFonts w:hint="eastAsia" w:ascii="仿宋_GB2312" w:eastAsia="仿宋_GB2312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-58" w:firstLine="2080" w:firstLineChars="6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000000"/>
          <w:sz w:val="32"/>
          <w:szCs w:val="32"/>
        </w:rPr>
        <w:t xml:space="preserve">                 </w:t>
      </w:r>
      <w:r>
        <w:rPr>
          <w:rFonts w:hint="default" w:ascii="仿宋_GB2312" w:eastAsia="仿宋_GB2312" w:cs="仿宋"/>
          <w:color w:val="000000"/>
          <w:sz w:val="32"/>
          <w:szCs w:val="32"/>
          <w:lang w:val="en-US"/>
        </w:rPr>
        <w:t>2023</w:t>
      </w:r>
      <w:r>
        <w:rPr>
          <w:rFonts w:hint="eastAsia" w:ascii="仿宋_GB2312" w:eastAsia="仿宋_GB2312" w:cs="仿宋"/>
          <w:sz w:val="32"/>
          <w:szCs w:val="32"/>
        </w:rPr>
        <w:t>年</w:t>
      </w:r>
      <w:r>
        <w:rPr>
          <w:rFonts w:hint="default" w:ascii="仿宋_GB2312" w:eastAsia="仿宋_GB2312" w:cs="仿宋"/>
          <w:sz w:val="32"/>
          <w:szCs w:val="32"/>
          <w:lang w:val="en-US"/>
        </w:rPr>
        <w:t>11</w:t>
      </w:r>
      <w:r>
        <w:rPr>
          <w:rFonts w:hint="eastAsia" w:ascii="仿宋_GB2312" w:eastAsia="仿宋_GB2312" w:cs="仿宋"/>
          <w:sz w:val="32"/>
          <w:szCs w:val="32"/>
        </w:rPr>
        <w:t>月</w:t>
      </w:r>
      <w:r>
        <w:rPr>
          <w:rFonts w:hint="default" w:ascii="仿宋_GB2312" w:eastAsia="仿宋_GB2312" w:cs="仿宋"/>
          <w:sz w:val="32"/>
          <w:szCs w:val="32"/>
          <w:highlight w:val="none"/>
          <w:lang w:val="en-US"/>
        </w:rPr>
        <w:t>28</w:t>
      </w:r>
      <w:bookmarkStart w:id="0" w:name="_GoBack"/>
      <w:bookmarkEnd w:id="0"/>
      <w:r>
        <w:rPr>
          <w:rFonts w:hint="eastAsia" w:ascii="仿宋_GB2312" w:eastAsia="仿宋_GB2312" w:cs="仿宋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GIwYmZkYzBjOTU0YTZmZDU1YmRkYTEwNzkwNDkifQ=="/>
  </w:docVars>
  <w:rsids>
    <w:rsidRoot w:val="3FFC6C6D"/>
    <w:rsid w:val="16682151"/>
    <w:rsid w:val="17166DAB"/>
    <w:rsid w:val="198432E8"/>
    <w:rsid w:val="1A253CB3"/>
    <w:rsid w:val="2B2117AF"/>
    <w:rsid w:val="2C155038"/>
    <w:rsid w:val="379910DA"/>
    <w:rsid w:val="3F5840DE"/>
    <w:rsid w:val="3FFC6C6D"/>
    <w:rsid w:val="417A348C"/>
    <w:rsid w:val="44F64A1E"/>
    <w:rsid w:val="46220DA9"/>
    <w:rsid w:val="53376B6A"/>
    <w:rsid w:val="5A647CF5"/>
    <w:rsid w:val="5D11793A"/>
    <w:rsid w:val="5F63118D"/>
    <w:rsid w:val="60C82867"/>
    <w:rsid w:val="61B32D2C"/>
    <w:rsid w:val="66760E2C"/>
    <w:rsid w:val="678271F5"/>
    <w:rsid w:val="6E894084"/>
    <w:rsid w:val="6FF33FA7"/>
    <w:rsid w:val="70D62CF4"/>
    <w:rsid w:val="729D3A97"/>
    <w:rsid w:val="759F3415"/>
    <w:rsid w:val="75D801B5"/>
    <w:rsid w:val="76F13CE9"/>
    <w:rsid w:val="782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2023-10-12T03:29:00Z</dcterms:created>
  <dc:creator>炖酥苗 </dc:creator>
  <cp:lastModifiedBy>Administrator</cp:lastModifiedBy>
  <dcterms:modified xsi:type="dcterms:W3CDTF">2023-11-28T03:12:27Z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AC53658D5EC14C3987228151C89EFC24_13</vt:lpwstr>
  </property>
</Properties>
</file>