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14:paraId="644D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4174" w:type="dxa"/>
            <w:gridSpan w:val="12"/>
            <w:tcBorders>
              <w:top w:val="nil"/>
              <w:left w:val="nil"/>
              <w:bottom w:val="nil"/>
              <w:right w:val="nil"/>
            </w:tcBorders>
            <w:noWrap w:val="0"/>
            <w:vAlign w:val="center"/>
          </w:tcPr>
          <w:p w14:paraId="7D1A5EB8">
            <w:pPr>
              <w:jc w:val="right"/>
              <w:rPr>
                <w:rFonts w:hint="eastAsia" w:ascii="宋体" w:hAnsi="宋体" w:cs="宋体"/>
              </w:rPr>
            </w:pPr>
            <w:bookmarkStart w:id="0" w:name="_Hlk109378982"/>
          </w:p>
        </w:tc>
      </w:tr>
      <w:tr w14:paraId="22D9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4174" w:type="dxa"/>
            <w:gridSpan w:val="12"/>
            <w:tcBorders>
              <w:top w:val="nil"/>
              <w:left w:val="nil"/>
              <w:bottom w:val="nil"/>
              <w:right w:val="nil"/>
            </w:tcBorders>
            <w:noWrap w:val="0"/>
            <w:vAlign w:val="top"/>
          </w:tcPr>
          <w:p w14:paraId="32B61AB6">
            <w:pPr>
              <w:jc w:val="center"/>
              <w:rPr>
                <w:rFonts w:hint="eastAsia" w:ascii="宋体" w:hAnsi="宋体" w:cs="宋体"/>
                <w:b/>
              </w:rPr>
            </w:pPr>
            <w:r>
              <w:rPr>
                <w:rFonts w:hint="eastAsia" w:ascii="宋体" w:hAnsi="宋体" w:cs="宋体"/>
                <w:b/>
                <w:kern w:val="0"/>
                <w:sz w:val="32"/>
                <w:szCs w:val="32"/>
              </w:rPr>
              <w:t>一般公共预算财政拨款“三公”经费支出决算表</w:t>
            </w:r>
          </w:p>
        </w:tc>
      </w:tr>
      <w:tr w14:paraId="2796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0639" w:type="dxa"/>
            <w:gridSpan w:val="9"/>
            <w:tcBorders>
              <w:top w:val="nil"/>
              <w:left w:val="nil"/>
              <w:bottom w:val="single" w:color="auto" w:sz="4" w:space="0"/>
              <w:right w:val="nil"/>
            </w:tcBorders>
            <w:noWrap w:val="0"/>
            <w:vAlign w:val="center"/>
          </w:tcPr>
          <w:p w14:paraId="0051C7F5">
            <w:pPr>
              <w:spacing w:line="288" w:lineRule="auto"/>
              <w:jc w:val="left"/>
              <w:rPr>
                <w:rFonts w:hint="default" w:ascii="宋体" w:hAnsi="宋体" w:eastAsia="宋体" w:cs="宋体"/>
                <w:sz w:val="28"/>
                <w:szCs w:val="28"/>
                <w:lang w:val="en-US" w:eastAsia="zh-CN"/>
              </w:rPr>
            </w:pPr>
            <w:r>
              <w:rPr>
                <w:rFonts w:hint="eastAsia" w:ascii="宋体" w:hAnsi="宋体" w:cs="宋体"/>
                <w:kern w:val="0"/>
                <w:sz w:val="20"/>
                <w:szCs w:val="20"/>
              </w:rPr>
              <w:t>部门：</w:t>
            </w:r>
            <w:bookmarkStart w:id="1" w:name="PO_part2Table1DivName7"/>
            <w:r>
              <w:rPr>
                <w:rFonts w:hint="eastAsia" w:ascii="宋体" w:hAnsi="宋体" w:cs="宋体"/>
                <w:kern w:val="0"/>
                <w:sz w:val="20"/>
                <w:szCs w:val="20"/>
              </w:rPr>
              <w:t xml:space="preserve"> </w:t>
            </w:r>
            <w:bookmarkEnd w:id="1"/>
            <w:r>
              <w:rPr>
                <w:rFonts w:hint="eastAsia" w:ascii="宋体" w:hAnsi="宋体" w:cs="宋体"/>
                <w:kern w:val="0"/>
                <w:sz w:val="20"/>
                <w:szCs w:val="20"/>
                <w:lang w:val="en-US" w:eastAsia="zh-CN"/>
              </w:rPr>
              <w:t>柳南区妇女联合会</w:t>
            </w:r>
          </w:p>
        </w:tc>
        <w:tc>
          <w:tcPr>
            <w:tcW w:w="3535" w:type="dxa"/>
            <w:gridSpan w:val="3"/>
            <w:tcBorders>
              <w:top w:val="nil"/>
              <w:left w:val="nil"/>
              <w:bottom w:val="single" w:color="auto" w:sz="4" w:space="0"/>
              <w:right w:val="nil"/>
            </w:tcBorders>
            <w:noWrap w:val="0"/>
            <w:vAlign w:val="center"/>
          </w:tcPr>
          <w:p w14:paraId="2044C5C8">
            <w:pPr>
              <w:jc w:val="right"/>
              <w:rPr>
                <w:rFonts w:hint="eastAsia" w:ascii="宋体" w:hAnsi="宋体" w:cs="宋体"/>
              </w:rPr>
            </w:pPr>
            <w:r>
              <w:rPr>
                <w:rFonts w:hint="eastAsia" w:ascii="宋体" w:hAnsi="宋体" w:cs="宋体"/>
                <w:kern w:val="0"/>
                <w:sz w:val="20"/>
                <w:szCs w:val="20"/>
              </w:rPr>
              <w:t>单位：万元</w:t>
            </w:r>
          </w:p>
        </w:tc>
      </w:tr>
      <w:tr w14:paraId="1CE9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7093" w:type="dxa"/>
            <w:gridSpan w:val="6"/>
            <w:tcBorders>
              <w:top w:val="single" w:color="auto" w:sz="4" w:space="0"/>
            </w:tcBorders>
            <w:noWrap w:val="0"/>
            <w:vAlign w:val="center"/>
          </w:tcPr>
          <w:p w14:paraId="283C093C">
            <w:pPr>
              <w:jc w:val="center"/>
              <w:rPr>
                <w:rFonts w:hint="eastAsia" w:ascii="宋体" w:hAnsi="宋体" w:cs="宋体"/>
                <w:szCs w:val="21"/>
              </w:rPr>
            </w:pPr>
            <w:r>
              <w:rPr>
                <w:rFonts w:hint="eastAsia" w:ascii="宋体" w:hAnsi="宋体" w:cs="Arial"/>
                <w:kern w:val="0"/>
                <w:szCs w:val="21"/>
              </w:rPr>
              <w:t>预算数</w:t>
            </w:r>
          </w:p>
        </w:tc>
        <w:tc>
          <w:tcPr>
            <w:tcW w:w="7081" w:type="dxa"/>
            <w:gridSpan w:val="6"/>
            <w:tcBorders>
              <w:top w:val="single" w:color="auto" w:sz="4" w:space="0"/>
            </w:tcBorders>
            <w:noWrap w:val="0"/>
            <w:vAlign w:val="center"/>
          </w:tcPr>
          <w:p w14:paraId="6FEE7159">
            <w:pPr>
              <w:jc w:val="center"/>
              <w:rPr>
                <w:rFonts w:hint="eastAsia" w:ascii="宋体" w:hAnsi="宋体" w:cs="宋体"/>
                <w:szCs w:val="21"/>
              </w:rPr>
            </w:pPr>
            <w:r>
              <w:rPr>
                <w:rFonts w:hint="eastAsia" w:ascii="宋体" w:hAnsi="宋体" w:cs="宋体"/>
                <w:kern w:val="0"/>
                <w:szCs w:val="21"/>
              </w:rPr>
              <w:t>决算数</w:t>
            </w:r>
          </w:p>
        </w:tc>
      </w:tr>
      <w:tr w14:paraId="699E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183" w:type="dxa"/>
            <w:vMerge w:val="restart"/>
            <w:noWrap w:val="0"/>
            <w:vAlign w:val="center"/>
          </w:tcPr>
          <w:p w14:paraId="567BB617">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4B5FBFEC">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14:paraId="46FE36DB">
            <w:pPr>
              <w:jc w:val="center"/>
              <w:rPr>
                <w:rFonts w:hint="eastAsia" w:ascii="宋体" w:hAnsi="宋体" w:cs="宋体"/>
                <w:szCs w:val="21"/>
              </w:rPr>
            </w:pPr>
            <w:r>
              <w:rPr>
                <w:rFonts w:hint="eastAsia" w:ascii="宋体" w:hAnsi="宋体" w:cs="宋体"/>
                <w:kern w:val="0"/>
                <w:szCs w:val="21"/>
              </w:rPr>
              <w:t>公务用车购置及运行费</w:t>
            </w:r>
          </w:p>
        </w:tc>
        <w:tc>
          <w:tcPr>
            <w:tcW w:w="1182" w:type="dxa"/>
            <w:vMerge w:val="restart"/>
            <w:noWrap w:val="0"/>
            <w:vAlign w:val="center"/>
          </w:tcPr>
          <w:p w14:paraId="125D6117">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14:paraId="45A6CCB5">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7699C134">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center"/>
          </w:tcPr>
          <w:p w14:paraId="04FDBB5C">
            <w:pPr>
              <w:jc w:val="center"/>
              <w:rPr>
                <w:rFonts w:hint="eastAsia" w:ascii="宋体" w:hAnsi="宋体" w:cs="宋体"/>
                <w:szCs w:val="21"/>
              </w:rPr>
            </w:pPr>
            <w:r>
              <w:rPr>
                <w:rFonts w:hint="eastAsia" w:ascii="宋体" w:hAnsi="宋体" w:cs="宋体"/>
                <w:kern w:val="0"/>
                <w:szCs w:val="21"/>
              </w:rPr>
              <w:t>公务用车购置及运行费</w:t>
            </w:r>
          </w:p>
        </w:tc>
        <w:tc>
          <w:tcPr>
            <w:tcW w:w="1171" w:type="dxa"/>
            <w:vMerge w:val="restart"/>
            <w:noWrap w:val="0"/>
            <w:vAlign w:val="center"/>
          </w:tcPr>
          <w:p w14:paraId="201FD566">
            <w:pPr>
              <w:jc w:val="center"/>
              <w:rPr>
                <w:rFonts w:hint="eastAsia" w:ascii="宋体" w:hAnsi="宋体" w:cs="宋体"/>
                <w:szCs w:val="21"/>
              </w:rPr>
            </w:pPr>
            <w:r>
              <w:rPr>
                <w:rFonts w:hint="eastAsia" w:ascii="宋体" w:hAnsi="宋体" w:cs="宋体"/>
                <w:kern w:val="0"/>
                <w:szCs w:val="21"/>
              </w:rPr>
              <w:t>公务接待费</w:t>
            </w:r>
          </w:p>
        </w:tc>
      </w:tr>
      <w:tr w14:paraId="589F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183" w:type="dxa"/>
            <w:vMerge w:val="continue"/>
            <w:noWrap w:val="0"/>
            <w:vAlign w:val="top"/>
          </w:tcPr>
          <w:p w14:paraId="1277055A">
            <w:pPr>
              <w:spacing w:line="288" w:lineRule="auto"/>
              <w:rPr>
                <w:rFonts w:hint="eastAsia" w:ascii="宋体" w:hAnsi="宋体" w:cs="宋体"/>
                <w:szCs w:val="21"/>
              </w:rPr>
            </w:pPr>
          </w:p>
        </w:tc>
        <w:tc>
          <w:tcPr>
            <w:tcW w:w="1182" w:type="dxa"/>
            <w:vMerge w:val="continue"/>
            <w:noWrap w:val="0"/>
            <w:vAlign w:val="top"/>
          </w:tcPr>
          <w:p w14:paraId="187D7F0E">
            <w:pPr>
              <w:spacing w:line="288" w:lineRule="auto"/>
              <w:rPr>
                <w:rFonts w:hint="eastAsia" w:ascii="宋体" w:hAnsi="宋体" w:cs="宋体"/>
                <w:szCs w:val="21"/>
              </w:rPr>
            </w:pPr>
          </w:p>
        </w:tc>
        <w:tc>
          <w:tcPr>
            <w:tcW w:w="1182" w:type="dxa"/>
            <w:noWrap w:val="0"/>
            <w:vAlign w:val="center"/>
          </w:tcPr>
          <w:p w14:paraId="65BF68A7">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54438173">
            <w:pPr>
              <w:widowControl/>
              <w:jc w:val="center"/>
              <w:rPr>
                <w:rFonts w:hint="eastAsia" w:ascii="宋体" w:hAnsi="宋体" w:cs="宋体"/>
                <w:kern w:val="0"/>
                <w:szCs w:val="21"/>
              </w:rPr>
            </w:pPr>
            <w:r>
              <w:rPr>
                <w:rFonts w:hint="eastAsia" w:ascii="宋体" w:hAnsi="宋体" w:cs="宋体"/>
                <w:kern w:val="0"/>
                <w:szCs w:val="21"/>
              </w:rPr>
              <w:t>公务用车</w:t>
            </w:r>
          </w:p>
          <w:p w14:paraId="5C4D652B">
            <w:pPr>
              <w:widowControl/>
              <w:jc w:val="center"/>
              <w:rPr>
                <w:rFonts w:hint="eastAsia" w:ascii="宋体" w:hAnsi="宋体" w:cs="宋体"/>
                <w:kern w:val="0"/>
                <w:szCs w:val="21"/>
              </w:rPr>
            </w:pPr>
            <w:r>
              <w:rPr>
                <w:rFonts w:hint="eastAsia" w:ascii="宋体" w:hAnsi="宋体" w:cs="宋体"/>
                <w:kern w:val="0"/>
                <w:szCs w:val="21"/>
              </w:rPr>
              <w:t>购置费</w:t>
            </w:r>
          </w:p>
        </w:tc>
        <w:tc>
          <w:tcPr>
            <w:tcW w:w="1182" w:type="dxa"/>
            <w:noWrap w:val="0"/>
            <w:vAlign w:val="center"/>
          </w:tcPr>
          <w:p w14:paraId="7BDDDF58">
            <w:pPr>
              <w:widowControl/>
              <w:jc w:val="center"/>
              <w:rPr>
                <w:rFonts w:hint="eastAsia" w:ascii="宋体" w:hAnsi="宋体" w:cs="宋体"/>
                <w:kern w:val="0"/>
                <w:szCs w:val="21"/>
              </w:rPr>
            </w:pPr>
            <w:r>
              <w:rPr>
                <w:rFonts w:hint="eastAsia" w:ascii="宋体" w:hAnsi="宋体" w:cs="宋体"/>
                <w:kern w:val="0"/>
                <w:szCs w:val="21"/>
              </w:rPr>
              <w:t>公务用车</w:t>
            </w:r>
          </w:p>
          <w:p w14:paraId="317A0A50">
            <w:pPr>
              <w:widowControl/>
              <w:jc w:val="center"/>
              <w:rPr>
                <w:rFonts w:hint="eastAsia" w:ascii="宋体" w:hAnsi="宋体" w:cs="宋体"/>
                <w:kern w:val="0"/>
                <w:szCs w:val="21"/>
              </w:rPr>
            </w:pPr>
            <w:r>
              <w:rPr>
                <w:rFonts w:hint="eastAsia" w:ascii="宋体" w:hAnsi="宋体" w:cs="宋体"/>
                <w:kern w:val="0"/>
                <w:szCs w:val="21"/>
              </w:rPr>
              <w:t>运行费</w:t>
            </w:r>
          </w:p>
        </w:tc>
        <w:tc>
          <w:tcPr>
            <w:tcW w:w="1182" w:type="dxa"/>
            <w:vMerge w:val="continue"/>
            <w:noWrap w:val="0"/>
            <w:vAlign w:val="top"/>
          </w:tcPr>
          <w:p w14:paraId="22A16303">
            <w:pPr>
              <w:spacing w:line="288" w:lineRule="auto"/>
              <w:rPr>
                <w:rFonts w:hint="eastAsia" w:ascii="宋体" w:hAnsi="宋体" w:cs="宋体"/>
                <w:szCs w:val="21"/>
              </w:rPr>
            </w:pPr>
          </w:p>
        </w:tc>
        <w:tc>
          <w:tcPr>
            <w:tcW w:w="1182" w:type="dxa"/>
            <w:vMerge w:val="continue"/>
            <w:noWrap w:val="0"/>
            <w:vAlign w:val="top"/>
          </w:tcPr>
          <w:p w14:paraId="42DE036E">
            <w:pPr>
              <w:spacing w:line="288" w:lineRule="auto"/>
              <w:rPr>
                <w:rFonts w:hint="eastAsia" w:ascii="宋体" w:hAnsi="宋体" w:cs="宋体"/>
                <w:szCs w:val="21"/>
              </w:rPr>
            </w:pPr>
          </w:p>
        </w:tc>
        <w:tc>
          <w:tcPr>
            <w:tcW w:w="1182" w:type="dxa"/>
            <w:vMerge w:val="continue"/>
            <w:noWrap w:val="0"/>
            <w:vAlign w:val="top"/>
          </w:tcPr>
          <w:p w14:paraId="748048A0">
            <w:pPr>
              <w:spacing w:line="288" w:lineRule="auto"/>
              <w:rPr>
                <w:rFonts w:hint="eastAsia" w:ascii="宋体" w:hAnsi="宋体" w:cs="宋体"/>
                <w:szCs w:val="21"/>
              </w:rPr>
            </w:pPr>
          </w:p>
        </w:tc>
        <w:tc>
          <w:tcPr>
            <w:tcW w:w="1182" w:type="dxa"/>
            <w:noWrap w:val="0"/>
            <w:vAlign w:val="center"/>
          </w:tcPr>
          <w:p w14:paraId="0473E18F">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4472EDE4">
            <w:pPr>
              <w:widowControl/>
              <w:jc w:val="center"/>
              <w:rPr>
                <w:rFonts w:hint="eastAsia" w:ascii="宋体" w:hAnsi="宋体" w:cs="宋体"/>
                <w:kern w:val="0"/>
                <w:szCs w:val="21"/>
              </w:rPr>
            </w:pPr>
            <w:r>
              <w:rPr>
                <w:rFonts w:hint="eastAsia" w:ascii="宋体" w:hAnsi="宋体" w:cs="宋体"/>
                <w:kern w:val="0"/>
                <w:szCs w:val="21"/>
              </w:rPr>
              <w:t>公务用车</w:t>
            </w:r>
          </w:p>
          <w:p w14:paraId="60C21740">
            <w:pPr>
              <w:widowControl/>
              <w:jc w:val="center"/>
              <w:rPr>
                <w:rFonts w:hint="eastAsia" w:ascii="宋体" w:hAnsi="宋体" w:cs="宋体"/>
                <w:kern w:val="0"/>
                <w:szCs w:val="21"/>
              </w:rPr>
            </w:pPr>
            <w:r>
              <w:rPr>
                <w:rFonts w:hint="eastAsia" w:ascii="宋体" w:hAnsi="宋体" w:cs="宋体"/>
                <w:kern w:val="0"/>
                <w:szCs w:val="21"/>
              </w:rPr>
              <w:t>购置费</w:t>
            </w:r>
          </w:p>
        </w:tc>
        <w:tc>
          <w:tcPr>
            <w:tcW w:w="1182" w:type="dxa"/>
            <w:noWrap w:val="0"/>
            <w:vAlign w:val="center"/>
          </w:tcPr>
          <w:p w14:paraId="569DE0EE">
            <w:pPr>
              <w:widowControl/>
              <w:jc w:val="center"/>
              <w:rPr>
                <w:rFonts w:hint="eastAsia" w:ascii="宋体" w:hAnsi="宋体" w:cs="宋体"/>
                <w:kern w:val="0"/>
                <w:szCs w:val="21"/>
              </w:rPr>
            </w:pPr>
            <w:r>
              <w:rPr>
                <w:rFonts w:hint="eastAsia" w:ascii="宋体" w:hAnsi="宋体" w:cs="宋体"/>
                <w:kern w:val="0"/>
                <w:szCs w:val="21"/>
              </w:rPr>
              <w:t>公务用车</w:t>
            </w:r>
          </w:p>
          <w:p w14:paraId="61AB4908">
            <w:pPr>
              <w:widowControl/>
              <w:jc w:val="center"/>
              <w:rPr>
                <w:rFonts w:hint="eastAsia" w:ascii="宋体" w:hAnsi="宋体" w:cs="宋体"/>
                <w:kern w:val="0"/>
                <w:szCs w:val="21"/>
              </w:rPr>
            </w:pPr>
            <w:r>
              <w:rPr>
                <w:rFonts w:hint="eastAsia" w:ascii="宋体" w:hAnsi="宋体" w:cs="宋体"/>
                <w:kern w:val="0"/>
                <w:szCs w:val="21"/>
              </w:rPr>
              <w:t>运行费</w:t>
            </w:r>
          </w:p>
        </w:tc>
        <w:tc>
          <w:tcPr>
            <w:tcW w:w="1171" w:type="dxa"/>
            <w:vMerge w:val="continue"/>
            <w:noWrap w:val="0"/>
            <w:vAlign w:val="top"/>
          </w:tcPr>
          <w:p w14:paraId="6BCD4077">
            <w:pPr>
              <w:spacing w:line="288" w:lineRule="auto"/>
              <w:rPr>
                <w:rFonts w:hint="eastAsia" w:ascii="宋体" w:hAnsi="宋体" w:cs="宋体"/>
                <w:szCs w:val="21"/>
              </w:rPr>
            </w:pPr>
          </w:p>
        </w:tc>
      </w:tr>
      <w:tr w14:paraId="7317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183" w:type="dxa"/>
            <w:noWrap w:val="0"/>
            <w:vAlign w:val="center"/>
          </w:tcPr>
          <w:p w14:paraId="7923F96D">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14:paraId="0F8A7270">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14:paraId="14546345">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14:paraId="39F4F543">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14:paraId="6A4A5FC9">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14:paraId="17A1AAC3">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14:paraId="6845FF43">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14:paraId="6E614A6B">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14:paraId="258ABF04">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14:paraId="6F94798F">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14:paraId="1A7E8258">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14:paraId="14E5478F">
            <w:pPr>
              <w:widowControl/>
              <w:jc w:val="center"/>
              <w:rPr>
                <w:rFonts w:hint="eastAsia" w:ascii="宋体" w:hAnsi="宋体" w:cs="宋体"/>
                <w:kern w:val="0"/>
                <w:szCs w:val="21"/>
              </w:rPr>
            </w:pPr>
            <w:r>
              <w:rPr>
                <w:rFonts w:hint="eastAsia" w:ascii="宋体" w:hAnsi="宋体" w:cs="宋体"/>
                <w:kern w:val="0"/>
                <w:szCs w:val="21"/>
              </w:rPr>
              <w:t>12</w:t>
            </w:r>
          </w:p>
        </w:tc>
      </w:tr>
      <w:tr w14:paraId="3FC6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183" w:type="dxa"/>
            <w:noWrap w:val="0"/>
            <w:vAlign w:val="center"/>
          </w:tcPr>
          <w:p w14:paraId="4BD849CC">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82" w:type="dxa"/>
            <w:noWrap w:val="0"/>
            <w:vAlign w:val="center"/>
          </w:tcPr>
          <w:p w14:paraId="105F62B2">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82" w:type="dxa"/>
            <w:noWrap w:val="0"/>
            <w:vAlign w:val="center"/>
          </w:tcPr>
          <w:p w14:paraId="20A3FF51">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82" w:type="dxa"/>
            <w:noWrap w:val="0"/>
            <w:vAlign w:val="center"/>
          </w:tcPr>
          <w:p w14:paraId="47C70F7B">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82" w:type="dxa"/>
            <w:noWrap w:val="0"/>
            <w:vAlign w:val="center"/>
          </w:tcPr>
          <w:p w14:paraId="3975B8FB">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82" w:type="dxa"/>
            <w:noWrap w:val="0"/>
            <w:vAlign w:val="center"/>
          </w:tcPr>
          <w:p w14:paraId="58823711">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0.064</w:t>
            </w:r>
          </w:p>
        </w:tc>
        <w:tc>
          <w:tcPr>
            <w:tcW w:w="1182" w:type="dxa"/>
            <w:noWrap w:val="0"/>
            <w:vAlign w:val="center"/>
          </w:tcPr>
          <w:p w14:paraId="04EC91B8">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82" w:type="dxa"/>
            <w:noWrap w:val="0"/>
            <w:vAlign w:val="center"/>
          </w:tcPr>
          <w:p w14:paraId="18E300FE">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82" w:type="dxa"/>
            <w:noWrap w:val="0"/>
            <w:vAlign w:val="center"/>
          </w:tcPr>
          <w:p w14:paraId="0CDF2ED4">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82" w:type="dxa"/>
            <w:noWrap w:val="0"/>
            <w:vAlign w:val="center"/>
          </w:tcPr>
          <w:p w14:paraId="5F920CE6">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82" w:type="dxa"/>
            <w:noWrap w:val="0"/>
            <w:vAlign w:val="center"/>
          </w:tcPr>
          <w:p w14:paraId="7EE6BD02">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c>
          <w:tcPr>
            <w:tcW w:w="1171" w:type="dxa"/>
            <w:noWrap w:val="0"/>
            <w:vAlign w:val="center"/>
          </w:tcPr>
          <w:p w14:paraId="5D3F1E7A">
            <w:pPr>
              <w:widowControl/>
              <w:jc w:val="right"/>
              <w:rPr>
                <w:rFonts w:hint="eastAsia" w:ascii="宋体" w:hAnsi="宋体" w:eastAsia="宋体" w:cs="宋体"/>
                <w:kern w:val="0"/>
                <w:szCs w:val="21"/>
                <w:lang w:val="en-US" w:eastAsia="zh-CN"/>
              </w:rPr>
            </w:pPr>
            <w:r>
              <w:rPr>
                <w:rFonts w:hint="eastAsia" w:ascii="宋体" w:hAnsi="宋体" w:cs="宋体"/>
                <w:kern w:val="0"/>
                <w:szCs w:val="21"/>
                <w:lang w:val="en-US" w:eastAsia="zh-CN"/>
              </w:rPr>
              <w:t>0</w:t>
            </w:r>
          </w:p>
        </w:tc>
      </w:tr>
      <w:bookmarkEnd w:id="0"/>
    </w:tbl>
    <w:p w14:paraId="16C313EB">
      <w:r>
        <w:rPr>
          <w:rFonts w:hint="eastAsia"/>
        </w:rPr>
        <w:t>注：本表反映部门本年度“三公”经费支出预决算情况。其中，预算数为“三公”经费全年预算数，反映按规定程序调整后的预算数；决算数是包括当年一般公共预算财政拨款和以前年度结转资金安排的实际支出。</w:t>
      </w:r>
    </w:p>
    <w:tbl>
      <w:tblPr>
        <w:tblStyle w:val="3"/>
        <w:tblW w:w="1215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57"/>
      </w:tblGrid>
      <w:tr w14:paraId="27057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2" w:hRule="atLeast"/>
        </w:trPr>
        <w:tc>
          <w:tcPr>
            <w:tcW w:w="12156" w:type="dxa"/>
            <w:tcBorders>
              <w:top w:val="nil"/>
              <w:left w:val="nil"/>
              <w:bottom w:val="nil"/>
              <w:right w:val="nil"/>
            </w:tcBorders>
            <w:noWrap w:val="0"/>
            <w:vAlign w:val="center"/>
          </w:tcPr>
          <w:p w14:paraId="3930C2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年度妇联“三公”经费财政拨款支出预算为0</w:t>
            </w:r>
            <w:r>
              <w:rPr>
                <w:rFonts w:hint="eastAsia" w:ascii="宋体" w:hAnsi="宋体" w:cs="宋体"/>
                <w:i w:val="0"/>
                <w:iCs w:val="0"/>
                <w:color w:val="000000"/>
                <w:kern w:val="0"/>
                <w:sz w:val="22"/>
                <w:szCs w:val="22"/>
                <w:u w:val="none"/>
                <w:lang w:val="en-US" w:eastAsia="zh-CN" w:bidi="ar"/>
              </w:rPr>
              <w:t>.064</w:t>
            </w:r>
            <w:r>
              <w:rPr>
                <w:rFonts w:hint="eastAsia" w:ascii="宋体" w:hAnsi="宋体" w:eastAsia="宋体" w:cs="宋体"/>
                <w:i w:val="0"/>
                <w:iCs w:val="0"/>
                <w:color w:val="000000"/>
                <w:kern w:val="0"/>
                <w:sz w:val="22"/>
                <w:szCs w:val="22"/>
                <w:u w:val="none"/>
                <w:lang w:val="en-US" w:eastAsia="zh-CN" w:bidi="ar"/>
              </w:rPr>
              <w:t>万元，支出决算为0万元，完成预算的0%，其中：因公出国（境）费支出决算为0万元，完成预算的0%；公务用车购置及运行费支出决算为0万元，完成预算的0%；公务接待费支出决算为0万元，完成预算的0%。202</w:t>
            </w:r>
            <w:r>
              <w:rPr>
                <w:rFonts w:hint="eastAsia" w:ascii="宋体" w:hAnsi="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年度“三公”经费支出为0的主要原因是认真贯彻落实</w:t>
            </w:r>
            <w:r>
              <w:rPr>
                <w:rFonts w:hint="eastAsia" w:ascii="宋体" w:hAnsi="宋体" w:cs="宋体"/>
                <w:i w:val="0"/>
                <w:iCs w:val="0"/>
                <w:color w:val="000000"/>
                <w:kern w:val="0"/>
                <w:sz w:val="22"/>
                <w:szCs w:val="22"/>
                <w:u w:val="none"/>
                <w:lang w:val="en-US" w:eastAsia="zh-CN" w:bidi="ar"/>
              </w:rPr>
              <w:t>中央</w:t>
            </w:r>
            <w:r>
              <w:rPr>
                <w:rFonts w:hint="eastAsia" w:ascii="宋体" w:hAnsi="宋体" w:eastAsia="宋体" w:cs="宋体"/>
                <w:i w:val="0"/>
                <w:iCs w:val="0"/>
                <w:color w:val="000000"/>
                <w:kern w:val="0"/>
                <w:sz w:val="22"/>
                <w:szCs w:val="22"/>
                <w:u w:val="none"/>
                <w:lang w:val="en-US" w:eastAsia="zh-CN" w:bidi="ar"/>
              </w:rPr>
              <w:t>八项规定精神和厉行节约要求，进一步从严控制“三公”经费开支，全年实际支出为0元</w:t>
            </w:r>
          </w:p>
        </w:tc>
      </w:tr>
    </w:tbl>
    <w:p w14:paraId="0CFA359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3MjI2NzEwY2Q4ZDYxOTY0YzBlODkwZjE3YjNlYmEifQ=="/>
  </w:docVars>
  <w:rsids>
    <w:rsidRoot w:val="5F087A4F"/>
    <w:rsid w:val="07123A08"/>
    <w:rsid w:val="20EC219D"/>
    <w:rsid w:val="30696F79"/>
    <w:rsid w:val="5F087A4F"/>
    <w:rsid w:val="5F313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line="240" w:lineRule="auto"/>
      <w:ind w:firstLine="0" w:firstLineChars="0"/>
    </w:pPr>
    <w:rPr>
      <w:rFonts w:ascii="Calibri" w:eastAsia="宋体"/>
      <w:kern w:val="0"/>
      <w:sz w:val="20"/>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426</Words>
  <Characters>442</Characters>
  <Lines>0</Lines>
  <Paragraphs>0</Paragraphs>
  <TotalTime>4</TotalTime>
  <ScaleCrop>false</ScaleCrop>
  <LinksUpToDate>false</LinksUpToDate>
  <CharactersWithSpaces>443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2023-08-18T03:04:00Z</dcterms:created>
  <dc:creator>淡雅如初</dc:creator>
  <cp:lastModifiedBy>蒋莉萍</cp:lastModifiedBy>
  <dcterms:modified xsi:type="dcterms:W3CDTF">2026-09-01T07:23:01Z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57FDD8F45F4A40FD8343292960B07D5D_13</vt:lpwstr>
  </property>
  <property fmtid="{D5CDD505-2E9C-101B-9397-08002B2CF9AE}" pid="4" name="KSOTemplateDocerSaveRecord">
    <vt:lpwstr>eyJoZGlkIjoiNjQwMjFjYjI2NGYxMDYxZTFhYWM1NTkzY2I3NDMwMTgiLCJ1c2VySWQiOiIxNjQ0NTM3Nzc0In0=</vt:lpwstr>
  </property>
</Properties>
</file>