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napToGrid w:val="0"/>
          <w:color w:val="000000"/>
          <w:sz w:val="44"/>
          <w:szCs w:val="44"/>
          <w:lang w:eastAsia="zh-CN"/>
        </w:rPr>
      </w:pPr>
      <w:r>
        <w:rPr>
          <w:rFonts w:hint="eastAsia" w:ascii="方正小标宋_GBK" w:eastAsia="方正小标宋_GBK"/>
          <w:snapToGrid w:val="0"/>
          <w:color w:val="000000"/>
          <w:sz w:val="44"/>
          <w:szCs w:val="44"/>
        </w:rPr>
        <w:t>柳州市柳南区</w:t>
      </w:r>
      <w:r>
        <w:rPr>
          <w:rFonts w:hint="eastAsia" w:ascii="方正小标宋_GBK" w:eastAsia="方正小标宋_GBK"/>
          <w:snapToGrid w:val="0"/>
          <w:color w:val="000000"/>
          <w:sz w:val="44"/>
          <w:szCs w:val="44"/>
          <w:lang w:eastAsia="zh-CN"/>
        </w:rPr>
        <w:t>工业和信息化局</w:t>
      </w:r>
      <w:r>
        <w:rPr>
          <w:rFonts w:hint="eastAsia" w:ascii="方正小标宋_GBK" w:eastAsia="方正小标宋_GBK"/>
          <w:snapToGrid w:val="0"/>
          <w:color w:val="000000"/>
          <w:sz w:val="44"/>
          <w:szCs w:val="44"/>
        </w:rPr>
        <w:t>权责清单规范化通用目录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900"/>
        <w:gridCol w:w="724"/>
        <w:gridCol w:w="1066"/>
        <w:gridCol w:w="1335"/>
        <w:gridCol w:w="554"/>
        <w:gridCol w:w="2859"/>
        <w:gridCol w:w="1499"/>
        <w:gridCol w:w="2287"/>
        <w:gridCol w:w="4652"/>
        <w:gridCol w:w="1923"/>
        <w:gridCol w:w="2744"/>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465" w:type="dxa"/>
            <w:vMerge w:val="restart"/>
            <w:vAlign w:val="center"/>
          </w:tcPr>
          <w:p>
            <w:pPr>
              <w:widowControl/>
              <w:adjustRightInd w:val="0"/>
              <w:snapToGrid w:val="0"/>
              <w:spacing w:line="140" w:lineRule="exact"/>
              <w:jc w:val="center"/>
              <w:rPr>
                <w:rFonts w:hint="eastAsia" w:ascii="方正黑体_GBK" w:hAnsi="宋体" w:eastAsia="方正黑体_GBK" w:cs="宋体"/>
                <w:bCs/>
                <w:color w:val="auto"/>
                <w:kern w:val="0"/>
                <w:sz w:val="11"/>
                <w:szCs w:val="11"/>
              </w:rPr>
            </w:pPr>
            <w:r>
              <w:rPr>
                <w:rFonts w:hint="eastAsia" w:ascii="方正黑体_GBK" w:hAnsi="宋体" w:eastAsia="方正黑体_GBK" w:cs="宋体"/>
                <w:bCs/>
                <w:color w:val="auto"/>
                <w:kern w:val="0"/>
                <w:sz w:val="11"/>
                <w:szCs w:val="11"/>
              </w:rPr>
              <w:t>序</w:t>
            </w:r>
          </w:p>
          <w:p>
            <w:pPr>
              <w:widowControl/>
              <w:adjustRightInd w:val="0"/>
              <w:snapToGrid w:val="0"/>
              <w:spacing w:line="140" w:lineRule="exact"/>
              <w:jc w:val="center"/>
              <w:rPr>
                <w:color w:val="auto"/>
                <w:vertAlign w:val="baseline"/>
              </w:rPr>
            </w:pPr>
            <w:r>
              <w:rPr>
                <w:rFonts w:hint="eastAsia" w:ascii="方正黑体_GBK" w:hAnsi="宋体" w:eastAsia="方正黑体_GBK" w:cs="宋体"/>
                <w:bCs/>
                <w:color w:val="auto"/>
                <w:kern w:val="0"/>
                <w:sz w:val="11"/>
                <w:szCs w:val="11"/>
              </w:rPr>
              <w:t>号</w:t>
            </w:r>
          </w:p>
        </w:tc>
        <w:tc>
          <w:tcPr>
            <w:tcW w:w="900" w:type="dxa"/>
            <w:vMerge w:val="restart"/>
            <w:vAlign w:val="center"/>
          </w:tcPr>
          <w:p>
            <w:pPr>
              <w:widowControl/>
              <w:adjustRightInd w:val="0"/>
              <w:snapToGrid w:val="0"/>
              <w:spacing w:line="140" w:lineRule="exact"/>
              <w:jc w:val="center"/>
              <w:rPr>
                <w:rFonts w:hint="eastAsia" w:ascii="方正黑体_GBK" w:hAnsi="宋体" w:eastAsia="方正黑体_GBK" w:cs="宋体"/>
                <w:bCs/>
                <w:color w:val="auto"/>
                <w:kern w:val="0"/>
                <w:sz w:val="11"/>
                <w:szCs w:val="11"/>
              </w:rPr>
            </w:pPr>
            <w:r>
              <w:rPr>
                <w:rFonts w:hint="eastAsia" w:ascii="方正黑体_GBK" w:hAnsi="宋体" w:eastAsia="方正黑体_GBK" w:cs="宋体"/>
                <w:bCs/>
                <w:color w:val="auto"/>
                <w:kern w:val="0"/>
                <w:sz w:val="11"/>
                <w:szCs w:val="11"/>
              </w:rPr>
              <w:t>实施</w:t>
            </w:r>
          </w:p>
          <w:p>
            <w:pPr>
              <w:widowControl/>
              <w:adjustRightInd w:val="0"/>
              <w:snapToGrid w:val="0"/>
              <w:spacing w:line="140" w:lineRule="exact"/>
              <w:jc w:val="center"/>
              <w:rPr>
                <w:color w:val="auto"/>
                <w:vertAlign w:val="baseline"/>
              </w:rPr>
            </w:pPr>
            <w:r>
              <w:rPr>
                <w:rFonts w:hint="eastAsia" w:ascii="方正黑体_GBK" w:hAnsi="宋体" w:eastAsia="方正黑体_GBK" w:cs="宋体"/>
                <w:bCs/>
                <w:color w:val="auto"/>
                <w:kern w:val="0"/>
                <w:sz w:val="11"/>
                <w:szCs w:val="11"/>
              </w:rPr>
              <w:t>层级</w:t>
            </w:r>
          </w:p>
        </w:tc>
        <w:tc>
          <w:tcPr>
            <w:tcW w:w="8037" w:type="dxa"/>
            <w:gridSpan w:val="6"/>
            <w:vAlign w:val="center"/>
          </w:tcPr>
          <w:p>
            <w:pPr>
              <w:widowControl/>
              <w:adjustRightInd w:val="0"/>
              <w:snapToGrid w:val="0"/>
              <w:spacing w:line="140" w:lineRule="exact"/>
              <w:jc w:val="center"/>
              <w:rPr>
                <w:rFonts w:hint="eastAsia" w:ascii="方正黑体_GBK" w:hAnsi="宋体" w:eastAsia="方正黑体_GBK" w:cs="宋体"/>
                <w:bCs/>
                <w:color w:val="auto"/>
                <w:kern w:val="0"/>
                <w:sz w:val="11"/>
                <w:szCs w:val="11"/>
                <w:lang w:val="en-US" w:eastAsia="zh-CN" w:bidi="ar-SA"/>
              </w:rPr>
            </w:pPr>
            <w:r>
              <w:rPr>
                <w:rFonts w:hint="eastAsia" w:ascii="方正黑体_GBK" w:hAnsi="宋体" w:eastAsia="方正黑体_GBK" w:cs="宋体"/>
                <w:bCs/>
                <w:color w:val="auto"/>
                <w:kern w:val="0"/>
                <w:sz w:val="11"/>
                <w:szCs w:val="11"/>
              </w:rPr>
              <w:t>权力清单</w:t>
            </w:r>
          </w:p>
        </w:tc>
        <w:tc>
          <w:tcPr>
            <w:tcW w:w="11606" w:type="dxa"/>
            <w:gridSpan w:val="4"/>
            <w:vAlign w:val="center"/>
          </w:tcPr>
          <w:p>
            <w:pPr>
              <w:widowControl/>
              <w:adjustRightInd w:val="0"/>
              <w:snapToGrid w:val="0"/>
              <w:spacing w:line="140" w:lineRule="exact"/>
              <w:jc w:val="center"/>
              <w:rPr>
                <w:rFonts w:hint="eastAsia" w:ascii="方正黑体_GBK" w:hAnsi="宋体" w:eastAsia="方正黑体_GBK" w:cs="宋体"/>
                <w:bCs/>
                <w:color w:val="auto"/>
                <w:kern w:val="0"/>
                <w:sz w:val="11"/>
                <w:szCs w:val="11"/>
                <w:lang w:val="en-US" w:eastAsia="zh-CN" w:bidi="ar-SA"/>
              </w:rPr>
            </w:pPr>
            <w:r>
              <w:rPr>
                <w:rFonts w:hint="eastAsia" w:ascii="方正黑体_GBK" w:hAnsi="宋体" w:eastAsia="方正黑体_GBK" w:cs="宋体"/>
                <w:bCs/>
                <w:color w:val="auto"/>
                <w:kern w:val="0"/>
                <w:sz w:val="11"/>
                <w:szCs w:val="11"/>
              </w:rPr>
              <w:t>责任清单</w:t>
            </w:r>
          </w:p>
        </w:tc>
        <w:tc>
          <w:tcPr>
            <w:tcW w:w="697" w:type="dxa"/>
            <w:vMerge w:val="restart"/>
            <w:vAlign w:val="center"/>
          </w:tcPr>
          <w:p>
            <w:pPr>
              <w:jc w:val="center"/>
              <w:rPr>
                <w:rFonts w:hint="eastAsia" w:eastAsia="宋体"/>
                <w:color w:val="auto"/>
                <w:vertAlign w:val="baseline"/>
                <w:lang w:val="en-US" w:eastAsia="zh-CN"/>
              </w:rPr>
            </w:pPr>
            <w:r>
              <w:rPr>
                <w:rFonts w:hint="eastAsia" w:ascii="方正黑体_GBK" w:hAnsi="宋体" w:eastAsia="方正黑体_GBK" w:cs="宋体"/>
                <w:color w:val="auto"/>
                <w:kern w:val="0"/>
                <w:sz w:val="11"/>
                <w:szCs w:val="1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65" w:type="dxa"/>
            <w:vMerge w:val="continue"/>
          </w:tcPr>
          <w:p>
            <w:pPr>
              <w:rPr>
                <w:color w:val="auto"/>
                <w:vertAlign w:val="baseline"/>
              </w:rPr>
            </w:pPr>
          </w:p>
        </w:tc>
        <w:tc>
          <w:tcPr>
            <w:tcW w:w="900" w:type="dxa"/>
            <w:vMerge w:val="continue"/>
          </w:tcPr>
          <w:p>
            <w:pPr>
              <w:rPr>
                <w:color w:val="auto"/>
                <w:vertAlign w:val="baseline"/>
              </w:rPr>
            </w:pPr>
          </w:p>
        </w:tc>
        <w:tc>
          <w:tcPr>
            <w:tcW w:w="724" w:type="dxa"/>
            <w:vAlign w:val="center"/>
          </w:tcPr>
          <w:p>
            <w:pPr>
              <w:widowControl/>
              <w:adjustRightInd w:val="0"/>
              <w:snapToGrid w:val="0"/>
              <w:spacing w:line="140" w:lineRule="exact"/>
              <w:jc w:val="center"/>
              <w:rPr>
                <w:rFonts w:hint="eastAsia" w:ascii="方正黑体_GBK" w:hAnsi="宋体" w:eastAsia="方正黑体_GBK" w:cs="宋体"/>
                <w:color w:val="auto"/>
                <w:kern w:val="0"/>
                <w:sz w:val="11"/>
                <w:szCs w:val="11"/>
                <w:lang w:val="en-US" w:eastAsia="zh-CN" w:bidi="ar-SA"/>
              </w:rPr>
            </w:pPr>
            <w:r>
              <w:rPr>
                <w:rFonts w:hint="eastAsia" w:ascii="方正黑体_GBK" w:hAnsi="宋体" w:eastAsia="方正黑体_GBK" w:cs="宋体"/>
                <w:color w:val="auto"/>
                <w:kern w:val="0"/>
                <w:sz w:val="11"/>
                <w:szCs w:val="11"/>
              </w:rPr>
              <w:t>权力分类</w:t>
            </w:r>
          </w:p>
        </w:tc>
        <w:tc>
          <w:tcPr>
            <w:tcW w:w="1066" w:type="dxa"/>
            <w:vAlign w:val="center"/>
          </w:tcPr>
          <w:p>
            <w:pPr>
              <w:widowControl/>
              <w:adjustRightInd w:val="0"/>
              <w:snapToGrid w:val="0"/>
              <w:spacing w:line="140" w:lineRule="exact"/>
              <w:jc w:val="center"/>
              <w:rPr>
                <w:rFonts w:hint="eastAsia" w:ascii="方正黑体_GBK" w:hAnsi="宋体" w:eastAsia="方正黑体_GBK" w:cs="宋体"/>
                <w:color w:val="auto"/>
                <w:kern w:val="0"/>
                <w:sz w:val="11"/>
                <w:szCs w:val="11"/>
                <w:lang w:val="en-US" w:eastAsia="zh-CN" w:bidi="ar-SA"/>
              </w:rPr>
            </w:pPr>
            <w:r>
              <w:rPr>
                <w:rFonts w:hint="eastAsia" w:ascii="方正黑体_GBK" w:hAnsi="宋体" w:eastAsia="方正黑体_GBK" w:cs="宋体"/>
                <w:color w:val="auto"/>
                <w:kern w:val="0"/>
                <w:sz w:val="11"/>
                <w:szCs w:val="11"/>
              </w:rPr>
              <w:t>项目名称</w:t>
            </w:r>
          </w:p>
        </w:tc>
        <w:tc>
          <w:tcPr>
            <w:tcW w:w="1335" w:type="dxa"/>
            <w:vAlign w:val="center"/>
          </w:tcPr>
          <w:p>
            <w:pPr>
              <w:widowControl/>
              <w:adjustRightInd w:val="0"/>
              <w:snapToGrid w:val="0"/>
              <w:spacing w:line="140" w:lineRule="exact"/>
              <w:jc w:val="center"/>
              <w:rPr>
                <w:rFonts w:hint="eastAsia" w:ascii="方正黑体_GBK" w:hAnsi="宋体" w:eastAsia="方正黑体_GBK" w:cs="宋体"/>
                <w:color w:val="auto"/>
                <w:kern w:val="0"/>
                <w:sz w:val="11"/>
                <w:szCs w:val="11"/>
                <w:lang w:val="en-US" w:eastAsia="zh-CN" w:bidi="ar-SA"/>
              </w:rPr>
            </w:pPr>
            <w:r>
              <w:rPr>
                <w:rFonts w:hint="eastAsia" w:ascii="方正黑体_GBK" w:hAnsi="宋体" w:eastAsia="方正黑体_GBK" w:cs="宋体"/>
                <w:color w:val="auto"/>
                <w:kern w:val="0"/>
                <w:sz w:val="11"/>
                <w:szCs w:val="11"/>
              </w:rPr>
              <w:t>子项</w:t>
            </w:r>
          </w:p>
        </w:tc>
        <w:tc>
          <w:tcPr>
            <w:tcW w:w="554" w:type="dxa"/>
            <w:vAlign w:val="center"/>
          </w:tcPr>
          <w:p>
            <w:pPr>
              <w:widowControl/>
              <w:adjustRightInd w:val="0"/>
              <w:snapToGrid w:val="0"/>
              <w:spacing w:line="140" w:lineRule="exact"/>
              <w:jc w:val="center"/>
              <w:rPr>
                <w:rFonts w:hint="eastAsia" w:ascii="方正黑体_GBK" w:hAnsi="宋体" w:eastAsia="方正黑体_GBK" w:cs="宋体"/>
                <w:color w:val="auto"/>
                <w:kern w:val="0"/>
                <w:sz w:val="11"/>
                <w:szCs w:val="11"/>
                <w:lang w:val="en-US" w:eastAsia="zh-CN" w:bidi="ar-SA"/>
              </w:rPr>
            </w:pPr>
            <w:r>
              <w:rPr>
                <w:rFonts w:hint="eastAsia" w:ascii="方正黑体_GBK" w:hAnsi="宋体" w:eastAsia="方正黑体_GBK" w:cs="宋体"/>
                <w:color w:val="auto"/>
                <w:kern w:val="0"/>
                <w:sz w:val="11"/>
                <w:szCs w:val="11"/>
              </w:rPr>
              <w:t>办理项</w:t>
            </w:r>
          </w:p>
        </w:tc>
        <w:tc>
          <w:tcPr>
            <w:tcW w:w="2859" w:type="dxa"/>
            <w:vAlign w:val="center"/>
          </w:tcPr>
          <w:p>
            <w:pPr>
              <w:widowControl/>
              <w:adjustRightInd w:val="0"/>
              <w:snapToGrid w:val="0"/>
              <w:spacing w:line="140" w:lineRule="exact"/>
              <w:jc w:val="center"/>
              <w:rPr>
                <w:rFonts w:hint="eastAsia" w:ascii="方正黑体_GBK" w:hAnsi="宋体" w:eastAsia="方正黑体_GBK" w:cs="宋体"/>
                <w:color w:val="auto"/>
                <w:kern w:val="0"/>
                <w:sz w:val="11"/>
                <w:szCs w:val="11"/>
                <w:lang w:val="en-US" w:eastAsia="zh-CN" w:bidi="ar-SA"/>
              </w:rPr>
            </w:pPr>
            <w:r>
              <w:rPr>
                <w:rFonts w:hint="eastAsia" w:ascii="方正黑体_GBK" w:hAnsi="宋体" w:eastAsia="方正黑体_GBK" w:cs="宋体"/>
                <w:color w:val="auto"/>
                <w:kern w:val="0"/>
                <w:sz w:val="11"/>
                <w:szCs w:val="11"/>
              </w:rPr>
              <w:t>实施依据</w:t>
            </w:r>
          </w:p>
        </w:tc>
        <w:tc>
          <w:tcPr>
            <w:tcW w:w="1499" w:type="dxa"/>
            <w:vAlign w:val="center"/>
          </w:tcPr>
          <w:p>
            <w:pPr>
              <w:widowControl/>
              <w:adjustRightInd w:val="0"/>
              <w:snapToGrid w:val="0"/>
              <w:spacing w:line="140" w:lineRule="exact"/>
              <w:jc w:val="center"/>
              <w:rPr>
                <w:rFonts w:hint="eastAsia" w:ascii="方正黑体_GBK" w:hAnsi="宋体" w:eastAsia="方正黑体_GBK" w:cs="宋体"/>
                <w:color w:val="auto"/>
                <w:kern w:val="0"/>
                <w:sz w:val="11"/>
                <w:szCs w:val="11"/>
              </w:rPr>
            </w:pPr>
            <w:r>
              <w:rPr>
                <w:rFonts w:hint="eastAsia" w:ascii="方正黑体_GBK" w:hAnsi="宋体" w:eastAsia="方正黑体_GBK" w:cs="宋体"/>
                <w:color w:val="auto"/>
                <w:kern w:val="0"/>
                <w:sz w:val="11"/>
                <w:szCs w:val="11"/>
              </w:rPr>
              <w:t>承办的职能</w:t>
            </w:r>
          </w:p>
          <w:p>
            <w:pPr>
              <w:widowControl/>
              <w:adjustRightInd w:val="0"/>
              <w:snapToGrid w:val="0"/>
              <w:spacing w:line="140" w:lineRule="exact"/>
              <w:jc w:val="center"/>
              <w:rPr>
                <w:rFonts w:hint="eastAsia" w:ascii="方正黑体_GBK" w:hAnsi="宋体" w:eastAsia="方正黑体_GBK" w:cs="宋体"/>
                <w:color w:val="auto"/>
                <w:kern w:val="0"/>
                <w:sz w:val="11"/>
                <w:szCs w:val="11"/>
                <w:lang w:val="en-US" w:eastAsia="zh-CN" w:bidi="ar-SA"/>
              </w:rPr>
            </w:pPr>
            <w:r>
              <w:rPr>
                <w:rFonts w:hint="eastAsia" w:ascii="方正黑体_GBK" w:hAnsi="宋体" w:eastAsia="方正黑体_GBK" w:cs="宋体"/>
                <w:color w:val="auto"/>
                <w:kern w:val="0"/>
                <w:sz w:val="11"/>
                <w:szCs w:val="11"/>
              </w:rPr>
              <w:t>部门机构</w:t>
            </w:r>
          </w:p>
        </w:tc>
        <w:tc>
          <w:tcPr>
            <w:tcW w:w="2287" w:type="dxa"/>
            <w:vAlign w:val="center"/>
          </w:tcPr>
          <w:p>
            <w:pPr>
              <w:widowControl/>
              <w:adjustRightInd w:val="0"/>
              <w:snapToGrid w:val="0"/>
              <w:spacing w:line="140" w:lineRule="exact"/>
              <w:jc w:val="center"/>
              <w:rPr>
                <w:rFonts w:hint="eastAsia" w:ascii="方正黑体_GBK" w:hAnsi="宋体" w:eastAsia="方正黑体_GBK" w:cs="宋体"/>
                <w:color w:val="auto"/>
                <w:kern w:val="0"/>
                <w:sz w:val="11"/>
                <w:szCs w:val="11"/>
                <w:lang w:val="en-US" w:eastAsia="zh-CN" w:bidi="ar-SA"/>
              </w:rPr>
            </w:pPr>
            <w:r>
              <w:rPr>
                <w:rFonts w:hint="eastAsia" w:ascii="方正黑体_GBK" w:hAnsi="宋体" w:eastAsia="方正黑体_GBK" w:cs="宋体"/>
                <w:color w:val="auto"/>
                <w:kern w:val="0"/>
                <w:sz w:val="11"/>
                <w:szCs w:val="11"/>
              </w:rPr>
              <w:t>责任事项</w:t>
            </w:r>
          </w:p>
        </w:tc>
        <w:tc>
          <w:tcPr>
            <w:tcW w:w="4652" w:type="dxa"/>
            <w:vAlign w:val="center"/>
          </w:tcPr>
          <w:p>
            <w:pPr>
              <w:widowControl/>
              <w:adjustRightInd w:val="0"/>
              <w:snapToGrid w:val="0"/>
              <w:spacing w:line="140" w:lineRule="exact"/>
              <w:jc w:val="center"/>
              <w:rPr>
                <w:rFonts w:hint="eastAsia" w:ascii="方正黑体_GBK" w:hAnsi="宋体" w:eastAsia="方正黑体_GBK" w:cs="宋体"/>
                <w:color w:val="auto"/>
                <w:kern w:val="0"/>
                <w:sz w:val="11"/>
                <w:szCs w:val="11"/>
                <w:lang w:val="en-US" w:eastAsia="zh-CN" w:bidi="ar-SA"/>
              </w:rPr>
            </w:pPr>
            <w:r>
              <w:rPr>
                <w:rFonts w:hint="eastAsia" w:ascii="方正黑体_GBK" w:hAnsi="宋体" w:eastAsia="方正黑体_GBK" w:cs="宋体"/>
                <w:color w:val="auto"/>
                <w:kern w:val="0"/>
                <w:sz w:val="11"/>
                <w:szCs w:val="11"/>
              </w:rPr>
              <w:t>责任事项依据</w:t>
            </w:r>
          </w:p>
        </w:tc>
        <w:tc>
          <w:tcPr>
            <w:tcW w:w="1923" w:type="dxa"/>
            <w:vAlign w:val="center"/>
          </w:tcPr>
          <w:p>
            <w:pPr>
              <w:widowControl/>
              <w:adjustRightInd w:val="0"/>
              <w:snapToGrid w:val="0"/>
              <w:spacing w:line="140" w:lineRule="exact"/>
              <w:jc w:val="center"/>
              <w:rPr>
                <w:rFonts w:hint="eastAsia" w:ascii="方正黑体_GBK" w:hAnsi="宋体" w:eastAsia="方正黑体_GBK" w:cs="宋体"/>
                <w:color w:val="auto"/>
                <w:kern w:val="0"/>
                <w:sz w:val="11"/>
                <w:szCs w:val="11"/>
                <w:lang w:val="en-US" w:eastAsia="zh-CN" w:bidi="ar-SA"/>
              </w:rPr>
            </w:pPr>
            <w:r>
              <w:rPr>
                <w:rFonts w:hint="eastAsia" w:ascii="方正黑体_GBK" w:hAnsi="宋体" w:eastAsia="方正黑体_GBK" w:cs="宋体"/>
                <w:color w:val="auto"/>
                <w:kern w:val="0"/>
                <w:sz w:val="11"/>
                <w:szCs w:val="11"/>
              </w:rPr>
              <w:t>追责情形</w:t>
            </w:r>
          </w:p>
        </w:tc>
        <w:tc>
          <w:tcPr>
            <w:tcW w:w="2744" w:type="dxa"/>
            <w:vAlign w:val="center"/>
          </w:tcPr>
          <w:p>
            <w:pPr>
              <w:widowControl/>
              <w:adjustRightInd w:val="0"/>
              <w:snapToGrid w:val="0"/>
              <w:spacing w:line="140" w:lineRule="exact"/>
              <w:jc w:val="center"/>
              <w:rPr>
                <w:rFonts w:hint="eastAsia" w:ascii="方正黑体_GBK" w:hAnsi="宋体" w:eastAsia="方正黑体_GBK" w:cs="宋体"/>
                <w:color w:val="auto"/>
                <w:kern w:val="0"/>
                <w:sz w:val="11"/>
                <w:szCs w:val="11"/>
                <w:lang w:val="en-US" w:eastAsia="zh-CN" w:bidi="ar-SA"/>
              </w:rPr>
            </w:pPr>
            <w:r>
              <w:rPr>
                <w:rFonts w:hint="eastAsia" w:ascii="方正黑体_GBK" w:hAnsi="宋体" w:eastAsia="方正黑体_GBK" w:cs="宋体"/>
                <w:color w:val="auto"/>
                <w:kern w:val="0"/>
                <w:sz w:val="11"/>
                <w:szCs w:val="11"/>
              </w:rPr>
              <w:t>追责依据</w:t>
            </w:r>
          </w:p>
        </w:tc>
        <w:tc>
          <w:tcPr>
            <w:tcW w:w="697"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1</w:t>
            </w:r>
          </w:p>
        </w:tc>
        <w:tc>
          <w:tcPr>
            <w:tcW w:w="900" w:type="dxa"/>
            <w:vAlign w:val="center"/>
          </w:tcPr>
          <w:p>
            <w:pPr>
              <w:widowControl/>
              <w:adjustRightInd w:val="0"/>
              <w:snapToGrid w:val="0"/>
              <w:spacing w:line="137"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设区市</w:t>
            </w:r>
          </w:p>
        </w:tc>
        <w:tc>
          <w:tcPr>
            <w:tcW w:w="724" w:type="dxa"/>
            <w:vAlign w:val="center"/>
          </w:tcPr>
          <w:p>
            <w:pPr>
              <w:widowControl/>
              <w:adjustRightInd w:val="0"/>
              <w:snapToGrid w:val="0"/>
              <w:spacing w:line="137"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行政许可</w:t>
            </w:r>
          </w:p>
        </w:tc>
        <w:tc>
          <w:tcPr>
            <w:tcW w:w="1066" w:type="dxa"/>
            <w:vAlign w:val="center"/>
          </w:tcPr>
          <w:p>
            <w:pPr>
              <w:widowControl/>
              <w:adjustRightInd w:val="0"/>
              <w:snapToGrid w:val="0"/>
              <w:spacing w:line="137"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企业、事业单位、社会团体等投资建设的固定资产投资项目核准（技术改造类）</w:t>
            </w:r>
          </w:p>
        </w:tc>
        <w:tc>
          <w:tcPr>
            <w:tcW w:w="1335" w:type="dxa"/>
            <w:vAlign w:val="center"/>
          </w:tcPr>
          <w:p>
            <w:pPr>
              <w:widowControl/>
              <w:adjustRightInd w:val="0"/>
              <w:snapToGrid w:val="0"/>
              <w:spacing w:line="137"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37"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国务院对确需保留的行政审批项目设定行政许可的决定》（2004年6月29日国务院令第412号，2016年8月25日予以修改）备注1鉴于投资体制改革正在进行，涉及固定资产投资项目的行政许可仍按国务院现行规定办理。</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2.《企业投资项目核准和备案管理条例》（国务院令第673号，2016年12月14日发布，自2017年2月1日起施行）第三条 对关系国家安全、涉及全国重大生产力布局、战略性资源开发和重大公共利益等项目，实行核准管理。具体项目范围以及核准机关、核准权限依照政府核准的投资项目目录执行。第四条　除涉及国家秘密的项目外，项目核准、备案通过国家建立的项目在线监管平台（以下简称在线平台）办理。第二十二条 事业单位、社会团体等非企业组织在中国境内投资建设的固定资产投资项目适用本条例，但通过预算安排的固定资产投资项目除外。</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3.《国务院关于投资体制改革的决定》（国发〔2004〕20号，2004 年7月16日发布）第二条第一款二、转变政府管理职能，确立企业的投资主体地位（一）改革项目审批制度，落实企业投资自主权。……对于企业不使用政府投资建设的项目，一律不再实行审批制，区别不同情况实行核准制和备案制。其中，政府仅对重大项目和限制类项目从维护社会公共利益角度进行核准，其他项目无论规模大小，均改为备案制。</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4.《国务院关于发布政府核准的投资项目目录（2016年本）的通知》（国发〔2016〕72号，2016年12月12日发布，自发布之日起执行）第一条 企业投资建设本目录内的固定资产投资项目，须按照规定报送有关项目核准机关核准。企业投资建设本目录外的项目，实行备案管理。事业单位、社会团体等投资建设的项目，按照本目录执行。</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5.《政府核准的投资项目目录》（广西壮族自治区2017年本，桂政发（2017）17号，2017年3月24日发布，自印发之日起执行）第一条 政府投资主管部门包括发展改革部门和工业和信息化部门，企业投资建设本目录内的固定资产投资项目，属于基本建设的，由发展改革部门核准；属于技术改造的，由工业和信息化部门核准。</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6.《广西壮族自治区人民政府办公厅关于印发广西投资项目在线并联审批监管平台运行管理暂行办法的通知》（桂政办发〔2017〕6号，2017年1月6日发布，自发布之日起施行）第三条 在线平台适用于我区实行审批制的政府投资项目、核准制或备案制的企业投资项目。</w:t>
            </w:r>
          </w:p>
        </w:tc>
        <w:tc>
          <w:tcPr>
            <w:tcW w:w="1499" w:type="dxa"/>
            <w:vAlign w:val="center"/>
          </w:tcPr>
          <w:p>
            <w:pPr>
              <w:widowControl/>
              <w:adjustRightInd w:val="0"/>
              <w:snapToGrid w:val="0"/>
              <w:spacing w:line="137"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柳州</w:t>
            </w:r>
            <w:r>
              <w:rPr>
                <w:rFonts w:hint="eastAsia" w:ascii="方正书宋_GBK" w:hAnsi="宋体" w:eastAsia="方正书宋_GBK" w:cs="宋体"/>
                <w:color w:val="auto"/>
                <w:kern w:val="0"/>
                <w:sz w:val="11"/>
                <w:szCs w:val="11"/>
              </w:rPr>
              <w:t>市工业和信息化部门</w:t>
            </w:r>
          </w:p>
        </w:tc>
        <w:tc>
          <w:tcPr>
            <w:tcW w:w="2287" w:type="dxa"/>
            <w:vAlign w:val="center"/>
          </w:tcPr>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受理责任：公示依法应当提交的材料；申报材料不齐全或者不符合有关要求的，项目核准机关应当在收到申报材料后5个工作日内一次告知项目单位补正。项目核准机关受理或者不予受理申报材料，都应当出具加盖本机关专用印章并注</w:t>
            </w:r>
            <w:bookmarkStart w:id="0" w:name="_GoBack"/>
            <w:bookmarkEnd w:id="0"/>
            <w:r>
              <w:rPr>
                <w:rFonts w:hint="eastAsia" w:ascii="方正书宋_GBK" w:hAnsi="宋体" w:eastAsia="方正书宋_GBK" w:cs="宋体"/>
                <w:color w:val="auto"/>
                <w:kern w:val="0"/>
                <w:sz w:val="11"/>
                <w:szCs w:val="11"/>
              </w:rPr>
              <w:t>明日期的书面凭证。</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审查责任：审查申请材料，提出审查意见。对于涉及有关行业主管部门职能的项目，商请有关行业主管部门出具书面审查意见。对需要进行评估论证的重点问题委托有资质的咨询机构进行评估论证，对于可能会对公共利益造成重大影响的项目，应采取适当方式征求公众意见。对于特别重大的项目，可以实行专家评议制度。</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3.决定责任：10个工作日内作出行政许可或者不予行政许可决定，法定告知（不予许可的应当书面告知理由）；按时办结 。</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4.送达责任：及时制发决定文件，通知申请人领取；信息公开。</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5.监管责任：加强项目核准工作的监督管理，建立实施监督检查的运行机制和管理制度，开展定期和不定期检查，依法采取相应处置措施。</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6.其他法律法规规章文件规定应履行的责任。</w:t>
            </w:r>
          </w:p>
        </w:tc>
        <w:tc>
          <w:tcPr>
            <w:tcW w:w="4652" w:type="dxa"/>
            <w:vAlign w:val="center"/>
          </w:tcPr>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中华人民共和国行政许可法》（2003年8月27日第十届全国人民代表大会常务委员会第四次会议通过）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1-2.【法律】《中华人民共和国行政许可法》（2003年8月27日第十届全国人民代表大会常务委员会第四次会议通过）第三十二条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2.【法律】《中华人民共和国行政许可法》（2003年8月27日第十届全国人民代表大会常务委员会第四次会议通过）第三十四条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 </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3.【法律】《中华人民共和国行政许可法》（2003年8月27日第十届全国人民代表大会常务委员会第四次会议通过）第三十八条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法律】《中华人民共和国行政许可法》（2003年8月27日第十届全国人民代表大会常务委员会第四次会议通过）第四十四条：行政机关作出准予行政许可的决定，应当自作出决定之日起十日内向申请人颁发、送达行政许可证件，或者加贴标签、加盖检验、检测、检疫印章。 </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5.【法律】《中华人民共和国行政许可法》（2003年8月27日第十届全国人民代表大会常务委员会第四次会议通过）第六十一条 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w:t>
            </w:r>
          </w:p>
        </w:tc>
        <w:tc>
          <w:tcPr>
            <w:tcW w:w="1923" w:type="dxa"/>
            <w:vAlign w:val="center"/>
          </w:tcPr>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的责任：1.对符合法定条件的企业不使用政府性资金投资建设的重大和限制类项目不予受理、许可的；2.对不符合有关法律法规的企业不使用政府性资金投资建设的重大和限制类项目而予以审核同意的；3.未严格审查申报材料，造成纠纷或重大损失的；4.擅自增设、变更审查程序或核准条件的；5.监管不力或怠于履行职责的；6.在监管中滥用职权、玩忽职守、徇私舞弊，造成较大损失的；7.其他违反法律法规规定的行为。</w:t>
            </w:r>
          </w:p>
        </w:tc>
        <w:tc>
          <w:tcPr>
            <w:tcW w:w="2744" w:type="dxa"/>
            <w:vAlign w:val="center"/>
          </w:tcPr>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 </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3.【法规】《行政机关公务员处分条例》（国务院令第495号）第二十一条　有下列行为之一的，给予警告或者记过处分；情节较重的，给予记大过或者降级处分；情节严重的，给予撤职处分：（一）在行政许可工作中违反法定权限、条件和程序设定或者实施行政许可的；  </w:t>
            </w:r>
          </w:p>
          <w:p>
            <w:pPr>
              <w:widowControl/>
              <w:adjustRightInd w:val="0"/>
              <w:snapToGrid w:val="0"/>
              <w:spacing w:line="137"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4.《公务员法》第一百零四条 公务员主管部门的工作人员，违反本法规定，滥用职权、玩忽职守、徇私舞弊，构成犯罪的，依法追究刑事责任；尚不构成犯罪的，给予处分。</w:t>
            </w:r>
          </w:p>
        </w:tc>
        <w:tc>
          <w:tcPr>
            <w:tcW w:w="697" w:type="dxa"/>
            <w:vAlign w:val="center"/>
          </w:tcPr>
          <w:p>
            <w:pPr>
              <w:rPr>
                <w:rFonts w:hint="eastAsia" w:eastAsia="宋体"/>
                <w:color w:val="auto"/>
                <w:vertAlign w:val="baseline"/>
                <w:lang w:eastAsia="zh-CN"/>
              </w:rPr>
            </w:pPr>
            <w:r>
              <w:rPr>
                <w:rFonts w:hint="eastAsia"/>
                <w:color w:val="auto"/>
                <w:vertAlign w:val="baseline"/>
                <w:lang w:eastAsia="zh-CN"/>
              </w:rPr>
              <w:t>该项权利由上级下放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7" w:hRule="atLeast"/>
        </w:trPr>
        <w:tc>
          <w:tcPr>
            <w:tcW w:w="465" w:type="dxa"/>
            <w:vAlign w:val="center"/>
          </w:tcPr>
          <w:p>
            <w:pPr>
              <w:jc w:val="center"/>
              <w:rPr>
                <w:rFonts w:hint="eastAsia" w:eastAsia="宋体"/>
                <w:color w:val="auto"/>
                <w:vertAlign w:val="baseline"/>
                <w:lang w:val="en-US" w:eastAsia="zh-CN"/>
              </w:rPr>
            </w:pPr>
            <w:r>
              <w:rPr>
                <w:rFonts w:hint="eastAsia"/>
                <w:color w:val="auto"/>
                <w:vertAlign w:val="baseline"/>
                <w:lang w:val="en-US" w:eastAsia="zh-CN"/>
              </w:rPr>
              <w:t>2</w:t>
            </w:r>
          </w:p>
        </w:tc>
        <w:tc>
          <w:tcPr>
            <w:tcW w:w="900" w:type="dxa"/>
            <w:vAlign w:val="center"/>
          </w:tcPr>
          <w:p>
            <w:pPr>
              <w:widowControl/>
              <w:adjustRightInd w:val="0"/>
              <w:snapToGrid w:val="0"/>
              <w:spacing w:line="138"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38"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行政许可</w:t>
            </w:r>
          </w:p>
        </w:tc>
        <w:tc>
          <w:tcPr>
            <w:tcW w:w="1066" w:type="dxa"/>
            <w:vAlign w:val="center"/>
          </w:tcPr>
          <w:p>
            <w:pPr>
              <w:widowControl/>
              <w:adjustRightInd w:val="0"/>
              <w:snapToGrid w:val="0"/>
              <w:spacing w:line="138"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技术改造类固定资产投资项目节能评估和审查</w:t>
            </w:r>
          </w:p>
        </w:tc>
        <w:tc>
          <w:tcPr>
            <w:tcW w:w="1335" w:type="dxa"/>
            <w:vAlign w:val="center"/>
          </w:tcPr>
          <w:p>
            <w:pPr>
              <w:widowControl/>
              <w:adjustRightInd w:val="0"/>
              <w:snapToGrid w:val="0"/>
              <w:spacing w:line="138"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38"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中华人民共和国节约能源法》（2016年7月2日第十二届全国人民代表大会常务委员会第二十一次会议通过的《全国人民代表大会常务委员会关于修改〈中华人民共和国节约能源法〉等六部法律的决定》修改，自2008年4月1日施行）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2.《国务院关于加强节能工作的决定》（国发〔2006〕28号，2006年8月6日发布实施）第二十三条 建立固定资产投资项目节能评估和审查制度。有关部门和地方人民政府要对固定资产投资项目（含新建、改建、扩建项目）进行节能评估和审查。对未进行节能审查或未能通过节能审查的项目一律不得审批、核准，从源头杜绝能源的浪费。对擅自批准项目建设的，要依法依规追究直接责任人的责任。发展改革委要会同有关部门制定固定资产投资项目节能评估和审查的具体办法。</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3.《固定资产投资项目节能审查办法》（2016年11月27日中华人民共和国国家发展和改革委员会令第44号，自2017年1月1日起施行）第三条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4.《广西壮族自治区固定资产投资项目节能审查实施办法》（2017年5月18日广西壮族自治区发展和改革委员会和广西壮族自治区工业和信息化委员会联合发布，自2017年6月1日起实施，原《广西壮族自治区固定资产投资项目节能评估和审查暂行办法》（桂发改环资〔2011〕949号）同时废止）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获通过的固定资产投资项目，建设单位不得开工建设，已经建成的不得投入生产、使用。</w:t>
            </w:r>
          </w:p>
        </w:tc>
        <w:tc>
          <w:tcPr>
            <w:tcW w:w="1499" w:type="dxa"/>
            <w:vAlign w:val="center"/>
          </w:tcPr>
          <w:p>
            <w:pPr>
              <w:widowControl/>
              <w:adjustRightInd w:val="0"/>
              <w:snapToGrid w:val="0"/>
              <w:spacing w:line="138"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受理责任：公示依法应当提交的材料；对申请材料齐全，符合法定形式的，应当出具受理凭证；不予受理的，应当出具不予受理凭证并载明理由；申请材料不齐全或者不符合法定形式的，应当当场一次告知申请人需要补正的全部内容。</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2.审查责任：自受理申请之日起14日内对申请材料进行审查，对认为需要组织专家对申请项目进行评审（或现场检查）的，应当书面告知申请人，专家评审（或现场检查）所需时间不计算在许可期限内。</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3.决定责任：对符合条件的项目节能报告的作出批复决定；不予许可的，书面告知申请人，并说明理由。</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4.送达责任：准予行政许可的，制发批复文件，送达申请人并信息公开。</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5.监管责任：开展定期和不定期检查，依法采取停止生产、使用，限期改造等相关处置措施。</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6.其他法律法规规章文件规定应履行的责任。</w:t>
            </w:r>
          </w:p>
        </w:tc>
        <w:tc>
          <w:tcPr>
            <w:tcW w:w="4652" w:type="dxa"/>
            <w:vAlign w:val="center"/>
          </w:tcPr>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中华人民共和国行政许可法》（2003年8月27日第十届全国人民代表大会常务委员会第四次会议通过）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1-2.【法律】《中华人民共和国行政许可法》（2003年8月27日第十届全国人民代表大会常务委员会第四次会议通过）第三十二条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2.【法律】《中华人民共和国行政许可法》（2003年8月27日第十届全国人民代表大会常务委员会第四次会议通过）第三十四条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 </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3.【法律】《中华人民共和国行政许可法》（2003年8月27日第十届全国人民代表大会常务委员会第四次会议通过）第三十八条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法律】《中华人民共和国行政许可法》（2003年8月27日第十届全国人民代表大会常务委员会第四次会议通过）第四十四条：行政机关作出准予行政许可的决定，应当自作出决定之日起十日内向申请人颁发、送达行政许可证件，或者加贴标签、加盖检验、检测、检疫印章。 </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5.【法律】《中华人民共和国行政许可法》（2003年8月27日第十届全国人民代表大会常务委员会第四次会议通过）第六十一条 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w:t>
            </w:r>
          </w:p>
        </w:tc>
        <w:tc>
          <w:tcPr>
            <w:tcW w:w="1923" w:type="dxa"/>
            <w:vAlign w:val="center"/>
          </w:tcPr>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因不履行或不正确履行行政职责，有下列情形的行政机关及相关工作人员应承担相应的责任：</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1.对符合法定条件的固定资产投资项目节能审查申请不予受理、许可的；</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2.对不符合有关法律法规的固定资产投资项目节能审查而予以审核同意的；</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3.未严格审查申报材料，造成纠纷或财产损失的；</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4.监管不力或怠于履行职责的；</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5.擅自增设、变更涉及固定资产投资项目节能审查的审查程序或核准条件的；</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6.在固定资产投资项目节能审查监管中滥用职权、玩忽职守、徇私舞弊，造成较大影响的；</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7.其他违反法律法规规定的行为。</w:t>
            </w:r>
          </w:p>
        </w:tc>
        <w:tc>
          <w:tcPr>
            <w:tcW w:w="2744" w:type="dxa"/>
            <w:vAlign w:val="center"/>
          </w:tcPr>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 </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3.【法规】《行政机关公务员处分条例》（国务院令第495号）第二十一条　有下列行为之一的，给予警告或者记过处分；情节较重的，给予记大过或者降级处分；情节严重的，给予撤职处分：（一）在行政许可工作中违反法定权限、条件和程序设定或者实施行政许可的；   </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4.《公务员法》第一百零四条 公务员主管部门的工作人员，违反本法规定，滥用职权、玩忽职守、徇私舞弊，构成犯罪的，依法追究刑事责任；尚不构成犯罪的，给予处分。</w:t>
            </w:r>
          </w:p>
          <w:p>
            <w:pPr>
              <w:widowControl/>
              <w:adjustRightInd w:val="0"/>
              <w:snapToGrid w:val="0"/>
              <w:spacing w:line="138"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5.【法规】《行政机关公务员处分条例》（国务院令第495号）第二十三条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eastAsia" w:eastAsia="宋体"/>
                <w:color w:val="auto"/>
                <w:vertAlign w:val="baseline"/>
                <w:lang w:val="en-US" w:eastAsia="zh-CN"/>
              </w:rPr>
            </w:pPr>
            <w:r>
              <w:rPr>
                <w:rFonts w:hint="eastAsia"/>
                <w:color w:val="auto"/>
                <w:vertAlign w:val="baseline"/>
                <w:lang w:val="en-US" w:eastAsia="zh-CN"/>
              </w:rPr>
              <w:t>3</w:t>
            </w:r>
          </w:p>
        </w:tc>
        <w:tc>
          <w:tcPr>
            <w:tcW w:w="900" w:type="dxa"/>
            <w:vAlign w:val="center"/>
          </w:tcPr>
          <w:p>
            <w:pPr>
              <w:widowControl/>
              <w:adjustRightInd w:val="0"/>
              <w:snapToGrid w:val="0"/>
              <w:spacing w:line="136"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36"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行政许可</w:t>
            </w:r>
          </w:p>
        </w:tc>
        <w:tc>
          <w:tcPr>
            <w:tcW w:w="1066" w:type="dxa"/>
            <w:vAlign w:val="center"/>
          </w:tcPr>
          <w:p>
            <w:pPr>
              <w:widowControl/>
              <w:adjustRightInd w:val="0"/>
              <w:snapToGrid w:val="0"/>
              <w:spacing w:line="136"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民用爆炸物品安全生产许可</w:t>
            </w:r>
          </w:p>
        </w:tc>
        <w:tc>
          <w:tcPr>
            <w:tcW w:w="1335" w:type="dxa"/>
            <w:vAlign w:val="center"/>
          </w:tcPr>
          <w:p>
            <w:pPr>
              <w:widowControl/>
              <w:adjustRightInd w:val="0"/>
              <w:snapToGrid w:val="0"/>
              <w:spacing w:line="136"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民用爆炸物品安全生产许可证企业名称、注册地址、法定代表人、登记类型的变更初审转报</w:t>
            </w:r>
          </w:p>
        </w:tc>
        <w:tc>
          <w:tcPr>
            <w:tcW w:w="554" w:type="dxa"/>
            <w:vAlign w:val="center"/>
          </w:tcPr>
          <w:p>
            <w:pPr>
              <w:widowControl/>
              <w:adjustRightInd w:val="0"/>
              <w:snapToGrid w:val="0"/>
              <w:spacing w:line="136"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1.《民用爆炸物品安全管理条例》（2006年5月10日国务院令第466号发布，自2006年9月1日起施行，2014年7月29日国务院令第653号修改）第三条 国家对民用爆炸物品的生产、销售、购买、运输和爆破作业实行许可证制度。未经许可，任何单位或者个人不得生产、销售、购买、运输民用爆炸物品，不得从事爆破作业。严禁转让、出借、转借、抵押、赠送、私藏或者非法持有民用爆炸物品。</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第十三条　取得《民用爆炸物品生产许可证》的企业应当在基本建设完成后，向省、自治区、直辖市人民政府民用爆炸物品行业主管部门申请安全生产许可。省、自治区、直辖市人民政府民用爆炸物品行业主管部门主管部门应当依照《安全生产许可证条例》的规定对其进行查验，对符合条件的，核发《民用爆炸物品安全生产许可证》。民用爆炸物品生产企业取得《民用爆炸物品安全生产许可证》后，方可生产民用爆炸物品。</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2.《民用爆炸物品安全生产许可实施办法》（2015年5月19日工业和信息化部令第30号发布，自2015年6月30日起施行）第十三条 《民用爆炸物品安全生产许可证》有效期内，企业名称、注册地址、法定代表人、登记类型发生变更的，企业应当自《民用爆炸物品生产许可证》变更之日起20日内向省级民爆行业主管部门提出《民用爆炸物品安全生产许可证》变更申请，省级民爆行业主管部门应当在10日内完成变更手续，并将结果告知初审机关。</w:t>
            </w:r>
          </w:p>
        </w:tc>
        <w:tc>
          <w:tcPr>
            <w:tcW w:w="1499" w:type="dxa"/>
            <w:vAlign w:val="center"/>
          </w:tcPr>
          <w:p>
            <w:pPr>
              <w:widowControl/>
              <w:adjustRightInd w:val="0"/>
              <w:snapToGrid w:val="0"/>
              <w:spacing w:line="136"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1.受理责任：公示应当提交的材料，当场一次性告知补正材料，依法受理或不予受理（不予受理应当告知理由）。</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2.审查责任：审查申请材料。</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3.决定责任：作出初审意见决定，法定告知（不予同意的应当书面告知理由）。</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4.送达责任：准予同意的，将初审意见和申请人全部材料报送上级行政机关；不予同意的，送达不予同意决定书。</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5.监管责任：建立实施监督检查的运行机制和管理制度，开展定期和不定期检查，依法采取相关处置措施。</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6.其他法律法规规章文件规定应履行的责任。</w:t>
            </w:r>
          </w:p>
        </w:tc>
        <w:tc>
          <w:tcPr>
            <w:tcW w:w="4652" w:type="dxa"/>
            <w:vAlign w:val="center"/>
          </w:tcPr>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-1.【法律】《中华人民共和国行政许可法》（2003年8月27日第十届全国人民代表大会常务委员会第四次会议通过）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1-2.【法律】《中华人民共和国行政许可法》（2003年8月27日第十届全国人民代表大会常务委员会第四次会议通过）第三十二条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2.【法律】《中华人民共和国行政许可法》（2003年8月27日第十届全国人民代表大会常务委员会第四次会议通过）第三十四条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3.【法律】《中华人民共和国行政许可法》（2003年8月27日第十届全国人民代表大会常务委员会第四次会议通过）第三十八条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法律】《中华人民共和国行政许可法》（2003年8月27日第十届全国人民代表大会常务委员会第四次会议通过）第三十四条：依法应当先经下级行政机关审查后报上级机关决定的行政许可，下级机关应当在法定期限内将初步审查意见和全部申请材料直接报送上级行政机关。上级行政机关不得要求申请人重复提供申请材料。</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5.【法律】《中华人民共和国行政许可法》（2003年8月27日第十届全国人民代表大会常务委员会第四次会议通过）第六十一条 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w:t>
            </w:r>
          </w:p>
        </w:tc>
        <w:tc>
          <w:tcPr>
            <w:tcW w:w="1923" w:type="dxa"/>
            <w:vAlign w:val="center"/>
          </w:tcPr>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因不履行或不正确履行行政职责，有下列情形的行政机关及相关工作人员应承担相应的责任：</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1.对符合法定条件的申请不予受理、审查的；</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2.对不符合有关法律法规的，予以审查审核同意的；</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3.未严格审查申报材料，造成纠纷或财产损失的；</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4.监管不力或怠于履行职责的；</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5.擅自增设、变更审查程序或核准条件的；</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6.在审查监管中滥用职权、玩忽职守、徇私舞弊，造成较大影响的；</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7.其他违反法律法规规定的行为。</w:t>
            </w:r>
          </w:p>
        </w:tc>
        <w:tc>
          <w:tcPr>
            <w:tcW w:w="2744" w:type="dxa"/>
            <w:vAlign w:val="center"/>
          </w:tcPr>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 </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3.【法规】《行政机关公务员处分条例》（国务院令第495号）第二十一条　有下列行为之一的，给予警告或者记过处分；情节较重的，给予记大过或者降级处分；情节严重的，给予撤职处分：（一）在行政许可工作中违反法定权限、条件和程序设定或者实施行政许可的；</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4.【法律】《公务员法》第一百零四条 公务员主管部门的工作人员，违反本法规定，滥用职权、玩忽职守、徇私舞弊，构成犯罪的，依法追究刑事责任；尚不构成犯罪的，给予处分。</w:t>
            </w:r>
          </w:p>
          <w:p>
            <w:pPr>
              <w:widowControl/>
              <w:adjustRightInd w:val="0"/>
              <w:snapToGrid w:val="0"/>
              <w:spacing w:line="136"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5.【法规】《行政机关公务员处分条例》（国务院令第495号）第二十三条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0" w:hRule="atLeast"/>
        </w:trPr>
        <w:tc>
          <w:tcPr>
            <w:tcW w:w="465" w:type="dxa"/>
            <w:vAlign w:val="center"/>
          </w:tcPr>
          <w:p>
            <w:pPr>
              <w:jc w:val="center"/>
              <w:rPr>
                <w:rFonts w:hint="eastAsia" w:eastAsia="宋体"/>
                <w:color w:val="auto"/>
                <w:vertAlign w:val="baseline"/>
                <w:lang w:val="en-US" w:eastAsia="zh-CN"/>
              </w:rPr>
            </w:pPr>
            <w:r>
              <w:rPr>
                <w:rFonts w:hint="eastAsia"/>
                <w:color w:val="auto"/>
                <w:vertAlign w:val="baseline"/>
                <w:lang w:val="en-US" w:eastAsia="zh-CN"/>
              </w:rPr>
              <w:t>4</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其他行政权力</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民用爆炸物品安全生产许可证年检</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民用爆炸物品安全生产许可证年检初审转报</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1.《民用爆炸物品安全管理条例》（2006年5月10日国务院令第466号发布，自2006年9月1日起施行，2014年7月29日国务院令第653号修改）第三条 国家对民用爆炸物品的生产、销售、购买、运输和爆破作业实行许可证制度。未经许可，任何单位或者个人不得生产、销售、购买、运输民用爆炸物品，不得从事爆破作业。严禁转让、出借、转借、抵押、赠送、私藏或者非法持有民用爆炸物品。</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2.《民用爆炸物品安全生产许可实施办法》（2015年5月19日工业和信息化部令第30号发布，自2015年6月30日起施行）第三条 工业和信息化部负责指导、监督全国民用爆炸物品生产企业安全生产许可的审批和管理工作。省、自治区、直辖市人民政府民用爆炸物品行业主管部门（以下简称省级民爆行业主管部门）负责民用爆炸物品生产企业安全生产许可的审批和监督管理。设区的市和县级人民政府民用爆炸物品行业主管部门在各自职责范围内依法对民用爆炸物品安全生产工作实施监督管理。设区的市和县级人民政府民用爆炸物品行业主管部门在各自职责范围内依法对民用爆炸物品安全生产工作实施监督管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为方便申请人，省级民爆行业主管部门可委托设区的市或者县级人民政府民用爆炸物品行业主管部门（以下简称初审机关）承担本行政区内民用爆炸物品生产企业安全生产许可申请的受理、初审工作。</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第十四条 《民用爆炸物品安全生产许可证》实行年检制度。民用爆炸物品生产企业应当于每年3月向省级民爆行业主管部门或者初审机关报送下列材料：</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（一）《民用爆炸物品安全生产许可证年检表》（由工业和信息化部提供范本）；</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（二）落实安全生产管理责任和安全隐患整改情况；</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（三）安全生产费用提留和使用、主要负责人和安全管理人员培训、实际生产量与销售情况；</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（四）省级民爆行业主管部门要求报送的其他材料。初审机关应当在5日内完成初审工作并将相关材料报送省级民爆行业主管部门。</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1.受理责任：公示应当提交的材料，当场一次性告知补正材料，依法受理或不予受理（不予受理应当告知理由）。</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2.审查责任：审查申请材料。</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3.决定责任：作出初审意见决定，法定告知（不予同意的应当书面告知理由）。</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4.送达责任：准予同意的，将初审意见和申请人全部材料报送上级行政机关；不予同意的，送达不予同意决定书。</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5.监管责任：建立实施监督检查的运行机制和管理制度，开展定期和不定期检查，依法采取相关处置措施。</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6.其他法律法规规章文件规定应履行的责任。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-1.【法律】《中华人民共和国行政许可法》（2003年8月27日第十届全国人民代表大会常务委员会第四次会议通过）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1-2.【法律】《中华人民共和国行政许可法》（2003年8月27日第十届全国人民代表大会常务委员会第四次会议通过）第三十二条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2.【法律】《中华人民共和国行政许可法》（2003年8月27日第十届全国人民代表大会常务委员会第四次会议通过）第三十四条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3.【法律】《中华人民共和国行政许可法》（2003年8月27日第十届全国人民代表大会常务委员会第四次会议通过）第三十八条 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法律】《中华人民共和国行政许可法》（2003年8月27日第十届全国人民代表大会常务委员会第四次会议通过）第三十四条：依法应当先经下级行政机关审查后报上级机关决定的行政许可，下级机关应当在法定期限内将初步审查意见和全部申请材料直接报送上级行政机关。上级行政机关不得要求申请人重复提供申请材料。</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5.【法律】《中华人民共和国行政许可法》（2003年8月27日第十届全国人民代表大会常务委员会第四次会议通过）第六十一条 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1.对符合法定条件的申请不予受理、审查的；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2.对不符合有关法律法规的，予以审查审核同意的；3.未严格审查申报材料，造成纠纷或财产损失的；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4.监管不力或怠于履行职责的；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5.擅自增设、变更审查程序或核准条件的；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6.在审查监管中滥用职权、玩忽职守、徇私舞弊，造成较大影响的；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3.【法规】《行政机关公务员处分条例》（国务院令第495号）第二十一条　有下列行为之一的，给予警告或者记过处分；情节较重的，给予记大过或者降级处分；情节严重的，给予撤职处分：（一）在行政许可工作中违反法定权限、条件和程序设定或者实施行政许可的；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4.【法律】《公务员法》第一百零四条 公务员主管部门的工作人员，违反本法规定，滥用职权、玩忽职守、徇私舞弊，构成犯罪的，依法追究刑事责任；尚不构成犯罪的，给予处分。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5.【法规】《行政机关公务员处分条例》（国务院令第495号）第二十三条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eastAsia" w:eastAsia="宋体"/>
                <w:color w:val="auto"/>
                <w:vertAlign w:val="baseline"/>
                <w:lang w:val="en-US" w:eastAsia="zh-CN"/>
              </w:rPr>
            </w:pPr>
            <w:r>
              <w:rPr>
                <w:rFonts w:hint="eastAsia"/>
                <w:color w:val="auto"/>
                <w:vertAlign w:val="baseline"/>
                <w:lang w:val="en-US" w:eastAsia="zh-CN"/>
              </w:rPr>
              <w:t>5</w:t>
            </w:r>
          </w:p>
        </w:tc>
        <w:tc>
          <w:tcPr>
            <w:tcW w:w="900" w:type="dxa"/>
            <w:vAlign w:val="center"/>
          </w:tcPr>
          <w:p>
            <w:pPr>
              <w:widowControl/>
              <w:adjustRightInd w:val="0"/>
              <w:snapToGrid w:val="0"/>
              <w:spacing w:line="124"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24"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行政检查</w:t>
            </w:r>
          </w:p>
        </w:tc>
        <w:tc>
          <w:tcPr>
            <w:tcW w:w="1066" w:type="dxa"/>
            <w:vAlign w:val="center"/>
          </w:tcPr>
          <w:p>
            <w:pPr>
              <w:widowControl/>
              <w:adjustRightInd w:val="0"/>
              <w:snapToGrid w:val="0"/>
              <w:spacing w:line="124"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节能监察（监测）</w:t>
            </w:r>
          </w:p>
        </w:tc>
        <w:tc>
          <w:tcPr>
            <w:tcW w:w="1335" w:type="dxa"/>
            <w:vAlign w:val="center"/>
          </w:tcPr>
          <w:p>
            <w:pPr>
              <w:widowControl/>
              <w:adjustRightInd w:val="0"/>
              <w:snapToGrid w:val="0"/>
              <w:spacing w:line="124"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24"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《中华人民共和国节约能源法》（主席令第九十号，1997年11月1日发布，1998年1月1日施行， 2016年7月2日主席令第四十八号修改，自2008年4月1日施行）第十二条 县级以上人民政府管理节能工作的部门和有关部门应当在各自的职责范围内，加强对节能法律、法规和节能标准执行情况的监督检查，依法查处违法用能行为。</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《广西壮族自治区实施〈中华人民共和国节约能源法〉办法》（2013年5月30日广西壮族自治区第十二届人民代表大会常务委员会公告第7号公布 自2013年9月1日起施行）第五条　县级以上人民政府应当将节能工作纳入国民经济和社会发展规划，加强对节能工作的领导，部署、协调、监督、检查、推动节能工作。县级以上人民政府发展和改革部门综合协调本行政区域节能监督管理工作。工业和信息化、科学技术、住房和城乡建设、交通运输、农业、林业、质量技术监督等部门以及管理机关事务的机构在各自的职责范围内负责节能技术开发、推广和节能监督管理工作。县级以上人民政府发展和改革部门、各节能监督管理部门根据职责和工作需要，可以依法委托节能监察机构具体实施日常的节能监督管理工作。</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《工业节能管理办法》（2016年4月27日，中华人民共和国工业和信息化委员会令第33号公布 自2016年6月30日起施行）第十九条 各级工业和信息化主管部门应当组织节能监察机构，对工业企业执行节能法律法规情况、强制性单位产品能耗限额及其他强制性节能标准贯彻执行情况、落后用能工艺技术设备（产品）淘汰情况、固定资产投资项目节能评估和审查意见落实情况、节能服务机构执行节能法律法规情况等开展节能监察。</w:t>
            </w:r>
          </w:p>
        </w:tc>
        <w:tc>
          <w:tcPr>
            <w:tcW w:w="1499" w:type="dxa"/>
            <w:vAlign w:val="center"/>
          </w:tcPr>
          <w:p>
            <w:pPr>
              <w:widowControl/>
              <w:adjustRightInd w:val="0"/>
              <w:snapToGrid w:val="0"/>
              <w:spacing w:line="124"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1.选案阶段责任：根据举报或上级安排以及日常管理中发现的问题确定进行检查。</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检查阶段责任：检查应按有关程序进行，指定专人负责，及时组织调查取证，与当事人有直接利害关系的应当回避。检查人员不得少于两人，调查时应出示执法证件，允许当事人辩解陈述。检查人员应保守有关秘密。</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3.审查环节责任：对违法事实、证据资料、调查程序、法律适用、当事人陈述理由等进行审查，提出初步处理意见。</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4.告知环节责任：对违法事实、处理依据、处理意见告知，听取当事人陈述申辩。</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5.决定环节责任：根据违法事实以及当事人陈述意见作出处理决定，重大案件应组织集体审议。</w:t>
            </w:r>
          </w:p>
        </w:tc>
        <w:tc>
          <w:tcPr>
            <w:tcW w:w="4652" w:type="dxa"/>
            <w:vAlign w:val="center"/>
          </w:tcPr>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val="en-US" w:eastAsia="zh-CN" w:bidi="ar-SA"/>
              </w:rPr>
              <w:t xml:space="preserve">1.【规章】《广西壮族自治区行政执法程序规定》（1997年11月5日自治区人民政府第8次常务会议通过）第三十条 行政执法机关调查、收集证据应遵守下列规定：（一）调查、收集证据的行政执法人员应不少于两人；（二）调查、收集证据应制作调查笔录，笔录经被调查人核对无误后，由调查人和被调查人签名或者盖章，被调查人拒绝签名或者盖章的，由调查人在调查笔录上注明情况；（三）现场勘验检查应通知相对人或其代理人到场，相对人或其代理人拒不到场的，可邀请在场无利害关系的其他人员一至二人见证，勘验检查时，可对现场进行测量、拍照、录音、录像、抽取样品、询问在场人；勘验检查应制作勘验检查笔录，载明勘验检查的时间、地点、对象、内容、结果，勘验笔录经相对人或其代理人核对无误后，由勘验检查人、相对人或其代理人、被邀请的见证人签名或者盖章；（四）涉及专门性问题的，应由法定部门鉴定。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val="en-US" w:eastAsia="zh-CN" w:bidi="ar-SA"/>
              </w:rPr>
              <w:t>2.【规章】《广西壮族自治区行政执法程序规定》（1997年11月5日自治区人民政府第8次常务会议通过）第三十三条 调查终结，办案人员应向所在行政执法机关提出调查报告和处理意见，并送本机关法制工作机构或本机关指定的其他机构进行审核；审核机构应在七日内审核完毕，连同审核意见一并报送本机关负责人进行审查，按下列规定分别处理（一）违法事实清楚，证据确凿，依法应受处罚的，根据情节轻重及具体情况，作出行政处罚决定；（二）没有违法事实或者违法行为轻微，依法不应追究法律责任的，作出撤销案件的决定；（三）证据不足的，应责令补充调查，补充调查应在退回之日起十日内结束，经补充调查，证据仍然不足的，作出撤销案件的决定。撤销案件依法应报上级行政机关批准的，经批准后予以撤销。接受委托办理的违法案件需要撤销的，应报告委托机关批准；（四）相对人的行为属于民事侵权行为的，告知被侵权人依法向人民法院起诉；（五）相对人的行为已触犯治安管理处罚条例或者已构成犯罪的，提请公安机关或移送司法机关依法处理。对情节复杂或者重大违法行为给予行政处罚的，行政执法机关负责人应当集体讨论决定。</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val="en-US" w:eastAsia="zh-CN" w:bidi="ar-SA"/>
              </w:rPr>
              <w:t>3.参照《行政处罚法》第四十条“行政处罚决定书应当在宣告后当场交付当事人；当事人不在场的，行政机关应当在七日内依照民事诉讼法的有关规定，将行政处罚决定书送达当事人。”</w:t>
            </w:r>
          </w:p>
        </w:tc>
        <w:tc>
          <w:tcPr>
            <w:tcW w:w="1923" w:type="dxa"/>
            <w:vAlign w:val="center"/>
          </w:tcPr>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因不履行或不正确履行行政职责，有下列情形的，行政机关及相关工作人员应承担相应责任：</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1.不履行或不正确履行职责，对节能监察没有进行合法指导和监督的。</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2.在监督检查中玩忽职守、徇私舞弊的。</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3.在监督检查中滥用职权，谋取不正当利益和发生腐败行为的。</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4.其他违反法律法规规章文件规定的行为。</w:t>
            </w:r>
          </w:p>
        </w:tc>
        <w:tc>
          <w:tcPr>
            <w:tcW w:w="2744" w:type="dxa"/>
            <w:vAlign w:val="center"/>
          </w:tcPr>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1.【法规】《行政机关公务员处分条例》（国务院令第495号）第二十条有下列行为之一的，给予记过、记大过处分；情节较重的，给予降级或者撤职处分；情节严重的，给予开除处分：（四）其他玩忽职守、贻误工作的行为。”2.同1.3.【法规】《行政机关公务员处分条例》（国务院令第495号）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9" w:hRule="atLeast"/>
        </w:trPr>
        <w:tc>
          <w:tcPr>
            <w:tcW w:w="465" w:type="dxa"/>
            <w:vAlign w:val="center"/>
          </w:tcPr>
          <w:p>
            <w:pPr>
              <w:jc w:val="center"/>
              <w:rPr>
                <w:rFonts w:hint="eastAsia" w:eastAsia="宋体"/>
                <w:color w:val="auto"/>
                <w:vertAlign w:val="baseline"/>
                <w:lang w:val="en-US" w:eastAsia="zh-CN"/>
              </w:rPr>
            </w:pPr>
            <w:r>
              <w:rPr>
                <w:rFonts w:hint="eastAsia"/>
                <w:color w:val="auto"/>
                <w:vertAlign w:val="baseline"/>
                <w:lang w:val="en-US" w:eastAsia="zh-CN"/>
              </w:rPr>
              <w:t>6</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对储煤场地不符合要求或在煤炭销售各环节造成环境污染行为的处罚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《煤炭经营监管办法》（2014年7月30日国家发展和改革委员会令第13号公布，自2014年9月1日起施行）第二十七条 用于煤炭经营的储煤场地不符合合理布局要求，或在煤炭装卸、储存、加工和运输过程中未采取必要措施、造成周边环境污染的，由县级以上地方人民政府煤炭经营监督管理部门责令限期改正，逾期不改的，列入违法失信名单并向社会公示。</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1.立案责任：对在煤炭经营监督管理中发现的、社会举报的、上级煤炭经营管理监督管理机关交办的、下级煤炭经营监督管理部门报请或有关部门移送的线索予以审查，决定是否立案。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2.调查取证责任：承办人员应当及时调查取证，调查取证时应当2人以上并出示执法证件，按照法定程序、法定实体规定的要求全面、客观、公正地收集证据，听取当事人的陈述，并制作相应的法律文书。</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复核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5.决定责任：履行告知或根据陈述申辩（听证）复核情况，依法作出行政处罚决定，并制作陈述和申辩笔录、陈述和申辩复核意见书、听证笔录、听证意见书、行政处罚决定书等相关法律文书。</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6.送达责任：煤炭经营监督管理处罚决定书应当在宣告后当场交付当事人并取得送达回执。当事人不在场的，应当在7日内依照民事诉讼法的有关规定，将行政处罚决定书送达当事人。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当事人自觉履行行政处罚决定的，应当核实取证后办理结案手续；当事人不自觉履行的，依法履行催告程序后，申请人民法院强制执行或依法将当事人列入违法失信名单，执行情况符合结案条件的，办理结案手续。</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9.其他法律法规规章文件规定应履行的其他责任。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1.没有依法实施行政处罚的；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2.对应当依法移交司法机关不移交的；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3.执法人员玩忽职守，利用职务上的便利，索取或者收受他人财物的；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4.其他违反法律法规规定的行为。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0" w:hRule="atLeast"/>
        </w:trPr>
        <w:tc>
          <w:tcPr>
            <w:tcW w:w="465" w:type="dxa"/>
            <w:vAlign w:val="center"/>
          </w:tcPr>
          <w:p>
            <w:pPr>
              <w:jc w:val="center"/>
              <w:rPr>
                <w:rFonts w:hint="eastAsia" w:eastAsia="宋体"/>
                <w:color w:val="auto"/>
                <w:vertAlign w:val="baseline"/>
                <w:lang w:val="en-US" w:eastAsia="zh-CN"/>
              </w:rPr>
            </w:pPr>
            <w:r>
              <w:rPr>
                <w:rFonts w:hint="eastAsia"/>
                <w:color w:val="auto"/>
                <w:vertAlign w:val="baseline"/>
                <w:lang w:val="en-US" w:eastAsia="zh-CN"/>
              </w:rPr>
              <w:t>7</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对盗窃电能的处罚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《中华人民共和国电力法》（1995年12月28日主席令第90号公布，自1996年4月1日起施行，2018年12月29日第十三届全国人民代表大会常务委员会第七次会议修正）第七十一条  盗窃电能的，由电力管理部门责令停止违法行为，追缴电费并处应交电费五倍以下的罚款；构成犯罪的，依照刑法有关规定追究刑事责任。</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1.立案责任：发现根据举报控告的违法行为或者上报移送的违法案件，及时制止并予以审查，决定是否立案。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2.调查责任：依法回避；两人以上出示执法证件；制作笔录、收集证据；允许辩解陈述；保守有关秘密。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3.审查责任：审理案件调查报告，对案件违法事实、证据、调查取证程序、法律适用、处罚种类和幅度、当事人陈述和申辩理由等方面进行审查，提出处理意见（主要证据不足时，以适当的方式补充调查）。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4.告知责任：作出行政处罚决定前，制作《行政处罚告知书》，告知违法事实及其享有的陈述、申辩等权利；满足听证条件的，制作《行政处罚听证告知书》告知当事人有要求举行听证的权利。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5.决定责任：制作行政处罚决定书，载明违法事实和证据、处罚依据和内容、申请行政复议或提起行政诉讼的途径和期限等内容（逾期不履行处罚决定的后果）。</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6.送达责任：行政处罚决定书按法律规定的方式送达当事人。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2.执法人员玩忽职守，对应当予以制止和处罚的违法行为不予制止、处罚，致使公民、法人或社会合法权益、公共利益遭受损害的；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3.不具备行政执法资格实施行政处罚的；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4.擅自改变行政处罚种类、幅度的以及违反法定的行政处罚程序的；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5.违反“罚缴分离”规定，擅自收取罚款的以及截留、私分或者变相私分罚款的；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6.符合听证条件、行政管理相对人要求听证，应予组织听证而不组织听证的；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5" w:hRule="atLeast"/>
        </w:trPr>
        <w:tc>
          <w:tcPr>
            <w:tcW w:w="465" w:type="dxa"/>
            <w:vAlign w:val="center"/>
          </w:tcPr>
          <w:p>
            <w:pPr>
              <w:jc w:val="center"/>
              <w:rPr>
                <w:rFonts w:hint="eastAsia" w:eastAsia="宋体"/>
                <w:color w:val="auto"/>
                <w:vertAlign w:val="baseline"/>
                <w:lang w:val="en-US" w:eastAsia="zh-CN"/>
              </w:rPr>
            </w:pPr>
            <w:r>
              <w:rPr>
                <w:rFonts w:hint="eastAsia"/>
                <w:color w:val="auto"/>
                <w:vertAlign w:val="baseline"/>
                <w:lang w:val="en-US" w:eastAsia="zh-CN"/>
              </w:rPr>
              <w:t>8</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对固定资产投资项目建设单位开工建设不符合强制性节能标准的项目或者将该项目投入生产、使用的处罚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《中华人民共和国节约能源法》（主席令第九十号，1997年11月1日发布，1998年1月1日施行， 2016年7月2日主席令第四十八号修改，自2008年4月1日施行）第十五条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                                                                    第六十八条第二款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1.立案阶段责任：发现根据举报控告的违法行为或者上报移送的违法案件以及涉嫌违反《中华人民共和国节约能源法》等相关规定的违法行为，及时制止并予以审查，决定是否立案。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2.调查阶段责任：指定专人负责；依法回避；两人以上出示执法证件；制作笔录、收集证据；允许辩解陈述；保守有关秘密。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3.审查阶段责任：审理案件调查报告，对案件违法事实、证据、调查取证程序、法律适用、处罚种类和幅度、当事人陈述和申辩理由等方面进行审查，提出处理意见（主要证据不足时，以适当的方式补充调查）。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4.告知阶段责任：做出行政处罚决定前，应制作《行政处罚告知书》，送达当事人，告知违法事实及其享有的陈述、申辩等权利。拟作出责令停产停业、吊销许可证或执照，当事人要求听证的，应当组织听证。</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阶段责任：根据审查情况决定是否予以行政处罚；依法需要给予行政处罚的，应制作行政处罚决定书，载明违法事实和证据、处罚依据和内容、申请行政复议或提起行政诉讼的途径和期限等内容（逾期不履行处罚决定的后果）；符合集体研究的，由集体讨论决定，并按时办结。</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6.送达阶段责任：行政处罚决定书按法律规定的方式送达当事人。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7.执行阶段责任：监督当事人在决定期限内履行义务；书面催告当事人及时履行处罚决定；依法申请人民法院强制执行。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8.其他法律法规规章文件规定应履行的责任。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1.不按照法定条件或法定程序对违反节能法行为实施行政处罚的；没有法律和事实依据实施行政处罚的；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2.擅自改变处罚幅度、范围的；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3.执法人员玩忽职守，对应当予以制止和处罚的违法行为不予以制止、处罚，致使公民、法人或其他组织的合法利益、公共利益和社会秩序遭受损害的；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4.徇私舞弊、包庇、纵容用能违法行为的；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5.违法对当事人进行处罚不使用罚款、没收财物单据或者使用非法定部门制发的罚款、没收财物单据的；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6.在行政处罚过程中发生腐败行为的或使用、损毁扣押的财物，对当事人造成损失的；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7.其他违反法律法规、规章以及规范性文件规定的行为。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5" w:hRule="atLeast"/>
        </w:trPr>
        <w:tc>
          <w:tcPr>
            <w:tcW w:w="465" w:type="dxa"/>
            <w:vAlign w:val="center"/>
          </w:tcPr>
          <w:p>
            <w:pPr>
              <w:jc w:val="center"/>
              <w:rPr>
                <w:rFonts w:hint="eastAsia" w:eastAsia="宋体"/>
                <w:color w:val="auto"/>
                <w:vertAlign w:val="baseline"/>
                <w:lang w:val="en-US" w:eastAsia="zh-CN"/>
              </w:rPr>
            </w:pPr>
            <w:r>
              <w:rPr>
                <w:rFonts w:hint="eastAsia"/>
                <w:color w:val="auto"/>
                <w:vertAlign w:val="baseline"/>
                <w:lang w:val="en-US" w:eastAsia="zh-CN"/>
              </w:rPr>
              <w:t>9</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对节能服务机构提供虚假信息的处罚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《中华人民共和国节约能源法》（主席令第九十号，1997年11月1日发布，1998年1月1日施行， 2016年7月2日主席令第四十八号修改，自2008年4月1日施行）第七十六条 从事节能咨询、设计、评估、检测、审计、认证等服务的机构提供虚假信息的，由管理节能工作的部门责令改正，没收违法所得，并处五万元以上十万元以下罚款。</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1.立案阶段责任：发现根据举报控告的违法行为或者上报移送的违法案件以及涉嫌违反《中华人民共和国节约能源法》等相关规定的违法行为，及时制止并予以审查，决定是否立案。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2.调查阶段责任：指定专人负责；依法回避；两人以上出示执法证件；制作笔录、收集证据；允许辩解陈述；保守有关秘密。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3.审查阶段责任：审理案件调查报告，对案件违法事实、证据、调查取证程序、法律适用、处罚种类和幅度、当事人陈述和申辩理由等方面进行审查，提出处理意见（主要证据不足时，以适当的方式补充调查）。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阶段责任：做出行政处罚决定前，应制作《行政处罚告知书》，送达当事人，告知违法事实及其享有的陈述、申辩等权利。拟作出责令停产停业、吊销许可证或执照、较大数额罚款的，当事人要求听证的，应当组织听证。</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阶段责任：根据审查情况决定是否予以行政处罚；依法需要给予行政处罚的，应制作行政处罚决定书，载明违法事实和证据、处罚依据和内容、申请行政复议或提起行政诉讼的途径和期限等内容（逾期不履行处罚决定的后果）；符合集体研究的，由集体讨论决定，并按时办结。</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6.送达阶段责任：行政处罚决定书按法律规定的方式送达当事人。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7.执行阶段责任：监督当事人在决定期限内履行义务；书面催告当事人及时履行处罚决定；依法申请人民法院强制执行。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8.其他法律法规规章文件规定应履行的责任。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1.不按照法定条件或法定程序对违反节能法行为实施行政处罚的；没有法律和事实依据实施行政处罚的；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2.擅自改变处罚幅度、范围的；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3.执法人员玩忽职守，对应当予以制止和处罚的违法行为不予以制止、处罚，致使公民、法人或其他组织的合法利益、公共利益和社会秩序遭受损害的；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4.徇私舞弊、包庇、纵容用能违法行为的；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5.违法对当事人进行处罚不使用罚款、没收财物单据或者使用非法定部门制发的罚款、没收财物单据的；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6.在行政处罚过程中发生腐败行为的或使用、损毁扣押的财物，对当事人造成损失的；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7.其他违反法律法规、规章以及规范性文件规定的行为。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5"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10</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对煤炭经营企业未按规定备案、未按规定提交年度报告或未配合接受监督检查的处罚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煤炭经营监管办法》（2014年7月30日国家发展和改革委员会令第13号公布，自2014年9月1日起施行）第二十六条煤炭经营企业未按规定备案或备案内容不真实；未按规定提交年度报告或报告内容不真实；未配合煤炭经营监督管理部门接受监督检查的，由县级以上地方人民政府煤炭经营监督管理部门责令限期改正，逾期不改的，列入违法失信名单并向社会公示。</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1.立案责任：对在煤炭经营监督管理中发现的、社会举报的、上级煤炭经营管理监督管理机关交办的、下级煤炭经营监督管理部门报请或有关部门移送的线索予以审查，决定是否立案。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2.调查取证责任：承办人员应当及时调查取证，调查取证时应当2人以上并出示执法证件，按照法定程序、法定实体规定的要求全面、客观、公正地收集证据，听取当事人的陈述，并制作相应的法律文书。</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复核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5.决定责任：履行告知或根据陈述申辩（听证）复核情况，依法作出行政处罚决定，并制作陈述和申辩笔录、陈述和申辩复核意见书、听证笔录、听证意见书、行政处罚决定书等相关法律文书。</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6.送达责任：煤炭经营监督管理处罚决定书应当在宣告后当场交付当事人并取得送达回执。当事人不在场的，应当在7日内依照民事诉讼法的有关规定，将行政处罚决定书送达当事人。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当事人自觉履行行政处罚决定的，应当核实取证后办理结案手续；当事人不自觉履行的，依法履行催告程序后，申请人民法院强制执行或依法将当事人列入违法失信名单，执行情况符合结案条件的，办理结案手续。</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9.其他法律法规规章文件规定应履行的其他责任。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-1【法律】《行政处罚法》（1996年中华人民共和国主席令第63号公布，2017年9月1日中华人民共和国主席令第七十六号修改后公布，自2018年1月1日起试行）第十五条“行政处罚由具有行政处罚权的行政机关在法定职权范围内实施。”</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1.没有依法实施行政处罚的；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2.对应当依法移交司法机关不移交的；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3.执法人员玩忽职守，利用职务上的便利，索取或者收受他人财物的；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4.其他违反法律法规规定的行为。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11</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对煤炭经营中采取掺杂使假、以次充好等欺诈手段开展经营行为的处罚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《煤炭经营监管办法》（2014年7月30日国家发展和改革委员会令第13号公布，自2014年9月1日起施行）第二十九条 采取掺杂使假、以次充好等欺诈手段进行经营的，由县级以上地方人民政府煤炭经营监督管理部门责令停止经营，没收违法所得，并处违法所得一倍以上五倍以下的罚款，列入违法失信名单并向社会公示。</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1.立案责任：对在煤炭经营监督管理中发现的、社会举报的、上级煤炭经营管理监督管理机关交办的、下级煤炭经营监督管理部门报请或有关部门移送的线索予以审查，决定是否立案。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2.调查取证责任：承办人员应当及时调查取证，调查取证时应当2人以上并出示执法证件，按照法定程序、法定实体规定的要求全面、客观、公正地收集证据，听取当事人的陈述，并制作相应的法律文书。</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复核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5.决定责任：履行告知或根据陈述申辩（听证）复核情况，依法作出行政处罚决定，并制作陈述和申辩笔录、陈述和申辩复核意见书、听证笔录、听证意见书、行政处罚决定书等相关法律文书。</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6.送达责任：煤炭经营监督管理处罚决定书应当在宣告后当场交付当事人并取得送达回执。当事人不在场的，应当在7日内依照民事诉讼法的有关规定，将行政处罚决定书送达当事人。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当事人自觉履行行政处罚决定的，应当核实取证后办理结案手续；当事人不自觉履行的，依法履行催告程序后，申请人民法院强制执行或依法将当事人列入违法失信名单，执行情况符合结案条件的，办理结案手续。</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9.其他法律法规规章文件规定应履行的其他责任。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1.没有依法实施行政处罚的；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2.对应当依法移交司法机关不移交的；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3.执法人员玩忽职守，利用职务上的便利，索取或者收受他人财物的；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4.其他违反法律法规规定的行为。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4"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12</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对生产单位超过单位产品能耗限额标准用能的处罚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《中华人民共和国节约能源法》（主席令第九十号，1997年11月1日发布，1998年1月1日施行， 2016年7月2日主席令第四十八号修改，自2008年4月1日施行）第七十二条生产单位超过单位产品能耗限额标准用能，情节严重，经限期治理逾期不治理或者没有达到治理要求的，可以由管理节能工作的部门提出意见，报请本级人民政府按照国务院规定的权限责令停业整顿或者关闭。</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1.立案阶段责任：受案部门在对报案、控告、举报、群众扭送或者违法嫌疑人投案，以及其他行政主管部门、司法机关移送的案件，应当及时受理。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2.调查阶段责任：受案部门对于立案的案件，指定专人负责调查，与当事人有直接利害关系的应当回避。调查时应出示执法证件，执法人员不得少于二人，执法人员应保守案件秘密。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3.案件审查阶段责任：受案部门应当对案件违法事实、证据、调查取证程序、法律适用、处罚种类和幅度、当事人陈述和申辩理由等内容进行审查，提出处理意见（主要证据不足的，及时调查补充）。</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4.告知阶段责任：受案部门在做出行政处罚前，应当告知当事人违法事实以及依法享有的陈述、申辩的权利，拟作出责令停产停业、吊销许可证或执照、较大数额罚款的，可以要求听证的权利。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阶段责任：受案部门根据案件审查情况决定是否予以行政处罚。依法给予行政处罚的，应当制作行政处罚决定书，载明违法事实和依据、处罚依据和内容、申请行政复议或提起行政诉讼的途径和期限等内容。</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6.送达阶段责任：行政处罚决定书应依法按时送达当事人。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7.执行阶段责任：监督当事人在决定期限内履行义务；书面催告当事人及时履行处罚决定；依法申请人民法院强制执行。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8.法律法规规定的其他责任。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-1【法律】《行政处罚法》（1996年中华人民共和国主席令第63号公布，2017年9月1日中华人民共和国主席令第七十六号修改后公布，自2018年1月1日起试行）第十五条“行政处罚由具有行政处罚权的行政机关在法定职权范围内实施。”</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1.不按照法定条件或法定程序对违反节能法行为实施行政处罚的；没有法律和事实依据实施行政处罚的；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2.擅自改变处罚幅度、范围的；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3.执法人员玩忽职守，对应当予以制止和处罚的违法行为不予以制止、处罚，致使公民、法人或其他组织的合法利益、公共利益和社会秩序遭受损害的；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4.徇私舞弊、包庇、纵容用能违法行为的；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5.违法对当事人进行处罚不使用罚款、没收财物单据或者使用非法定部门制发的罚款、没收财物单据的；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6.在行政处罚过程中发生腐败行为的或使用、损毁扣押的财物，对当事人造成损失的；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7.其他违反法律法规、规章以及规范性文件规定的行为。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1"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13</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对使用国家明令淘汰的电力设备和技术进行电力建设项目的处罚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《中华人民共和国电力法》（1995年12月28日主席令第90号公布，自1996年4月1日起施行，2018年12月29日第十三届全国人民代表大会常务委员会第七次会议修正）第十四条  电力建设项目应当符合电力发展规划，符合国家电力产业政策。电力建设项目不得使用国家明令淘汰的电力设备和技术。</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xml:space="preserve"> 第六十二条第二款  违反本法第十四条规定，电力建设项目使用国家明令淘汰的电力设备和技术的，由电力管理部门责令停止使用，没收国家明令淘汰的电力设备，并处五万元以下的罚款。</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1.立案责任：发现根据举报控告的违法行为或者上报移送的违法案件，及时制止并予以审查，决定是否立案。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2.调查责任：依法回避；两人以上出示执法证件；制作笔录、收集证据；允许辩解陈述；保守有关秘密。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3.审查责任：审理案件调查报告，对案件违法事实、证据、调查取证程序、法律适用、处罚种类和幅度、当事人陈述和申辩理由等方面进行审查，提出处理意见（主要证据不足时，以适当的方式补充调查）。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4.告知责任：作出行政处罚决定前，制作《行政处罚告知书》，告知违法事实及其享有的陈述、申辩等权利；满足听证条件的，制作《行政处罚听证告知书》告知当事人有要求举行听证的权利。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5.决定责任：制作行政处罚决定书，载明违法事实和证据、处罚依据和内容、申请行政复议或提起行政诉讼的途径和期限等内容（逾期不履行处罚决定的后果）。</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6.送达责任：行政处罚决定书按法律规定的方式送达当事人。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-1【法律】《行政处罚法》（1996年中华人民共和国主席令第63号公布，2017年9月1日中华人民共和国主席令第七十六号修改后公布，自2018年1月1日起试行）第十五条“行政处罚由具有行政处罚权的行政机关在法定职权范围内实施。”</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2.执法人员玩忽职守，对应当予以制止和处罚的违法行为不予制止、处罚，致使公民、法人或社会合法权益、公共利益遭受损害的；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3.不具备行政执法资格实施行政处罚的；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4.擅自改变行政处罚种类、幅度的以及违反法定的行政处罚程序的；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5.违反“罚缴分离”规定，擅自收取罚款的以及截留、私分或者变相私分罚款的；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6.符合听证条件、行政管理相对人要求听证，应予组织听证而不组织听证的；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4"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14</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对使用国家明令淘汰的用能设备或者生产工艺的处罚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1.《中华人民共和国节约能源法》（主席令第九十号，1997年11月1日发布，1998年1月1日施行， 2016年7月2日主席令第四十八号修改，自2008年4月1日施行）第七十一条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xml:space="preserve">2.《中华人民共和国循环经济促进法》（2008国家主席令第4号，2008年8月29日发布，自2009年1月1日起施行）第五十条生产、销售列入淘汰名录的产品、设备的，依照《中华人民共和国产品质量法》的规定处罚。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  </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1.立案阶段责任：受案部门在对报案、控告、举报、群众扭送或者违法嫌疑人投案，以及其他行政主管部门、司法机关移送的案件，应当及时受理。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2.调查阶段责任：受案部门对于立案的案件，指定专人负责调查，与当事人有直接利害关系的应当回避。调查时应出示执法证件，执法人员不得少于二人，执法人员应保守案件秘密。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3.案件审查阶段责任：受案部门应当对案件违法事实、证据、调查取证程序、法律适用、处罚种类和幅度、当事人陈述和申辩理由等内容进行审查，提出处理意见（主要证据不足的，及时调查补充）。</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4.告知阶段责任：受案部门在做出行政处罚前，应当告知当事人违法事实以及依法享有的陈述、申辩的权利，拟作出责令停产停业、吊销许可证或执照、较大数额罚款的，可以要求听证的权利。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阶段责任：受案部门根据案件审查情况决定是否予以行政处罚。依法给予行政处罚的，应当制作行政处罚决定书，载明违法事实和依据、处罚依据和内容、申请行政复议或提起行政诉讼的途径和期限等内容。</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6.送达阶段责任：行政处罚决定书应依法按时送达当事人。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7.执行阶段责任：监督当事人在决定期限内履行义务；书面催告当事人及时履行处罚决定；依法申请人民法院强制执行。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8.法律法规规定的其他责任。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1.不按照法定条件或法定程序对违反节能法行为实施行政处罚的；没有法律和事实依据实施行政处罚的；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2.擅自改变处罚幅度、范围的；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3.执法人员玩忽职守，对应当予以制止和处罚的违法行为不予以制止、处罚，致使公民、法人或其他组织的合法利益、公共利益和社会秩序遭受损害的；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4.徇私舞弊、包庇、纵容用能违法行为的；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5.违法对当事人进行处罚不使用罚款、没收财物单据或者使用非法定部门制发的罚款、没收财物单据的；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6.在行政处罚过程中发生腐败行为的或使用或者损毁扣押的财物，对当事人造成损失的；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7.其他违反法律法规和规章以及规范性文件规定的行为。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3"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15</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对危害发电设施、变电设施和电力线路设施的处罚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《电力设施保护条例》（1987年9月15日国务院发布，自1987年9月15日起施行，2011年1月8日国务院令第588号修改）第二十七条  违反本条例规定，危害发电设施、变电设施和电力线路设施的，由电力管理部门责令改正；拒不改正的，处1万元以下的罚款。</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1.立案责任：发现根据举报控告的违法行为或者上报移送的违法案件，及时制止并予以审查，决定是否立案。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2.调查责任：依法回避；两人以上出示执法证件；制作笔录、收集证据；允许辩解陈述；保守有关秘密。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3.审查责任：审理案件调查报告，对案件违法事实、证据、调查取证程序、法律适用、处罚种类和幅度、当事人陈述和申辩理由等方面进行审查，提出处理意见（主要证据不足时，以适当的方式补充调查）。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4.告知责任：作出行政处罚决定前，制作《行政处罚告知书》，告知违法事实及其享有的陈述、申辩等权利；满足听证条件的，制作《行政处罚听证告知书》告知当事人有要求举行听证的权利。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5.决定责任：制作行政处罚决定书，载明违法事实和证据、处罚依据和内容、申请行政复议或提起行政诉讼的途径和期限等内容（逾期不履行处罚决定的后果）。</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6.送达责任：行政处罚决定书按法律规定的方式送达当事人。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-1【法律】《行政处罚法》（1996年中华人民共和国主席令第63号公布，2017年9月1日中华人民共和国主席令第七十六号修改后公布，自2018年1月1日起试行）第十五条“行政处罚由具有行政处罚权的行政机关在法定职权范围内实施。”</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2.执法人员玩忽职守，对应当予以制止和处罚的违法行为不予制止、处罚，致使公民、法人或社会合法权益、公共利益遭受损害的；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3.不具备行政执法资格实施行政处罚的；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4.擅自改变行政处罚种类、幅度的以及违反法定的行政处罚程序的；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5.违反“罚缴分离”规定，擅自收取罚款的以及截留、私分或者变相私分罚款的；</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8"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16</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对危害供电、用电安全或者扰乱供电、用电秩序的处罚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1.《中华人民共和国电力法》（1995年12月28日主席令第90号公布，自1996年4月1日起施行，2018年12月29日第十三届全国人民代表大会常务委员会第七次会议修正）第三十二条  用户用电不得危害供电、用电安全和扰乱供电、用电秩序。对危害供电、用电安全和扰乱供电、用电秩序的，供电企业有权制止。第六十五条  违反本法第三十二条规定，危害供电、用电安全或者扰乱供电、用电秩序的，由电力管理部门责令改正，给予警告；情节严重或者拒绝改正的，可以中止供电，可以并处五万元以下的罚款。</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1.立案责任：发现根据举报控告的违法行为或者上报移送的违法案件，及时制止并予以审查，决定是否立案。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2.调查责任：依法回避；两人以上出示执法证件；制作笔录、收集证据；允许辩解陈述；保守有关秘密。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3.审查责任：审理案件调查报告，对案件违法事实、证据、调查取证程序、法律适用、处罚种类和幅度、当事人陈述和申辩理由等方面进行审查，提出处理意见（主要证据不足时，以适当的方式补充调查）。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4.告知责任：作出行政处罚决定前，制作《行政处罚告知书》，告知违法事实及其享有的陈述、申辩等权利；满足听证条件的，制作《行政处罚听证告知书》告知当事人有要求举行听证的权利。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5.决定责任：制作行政处罚决定书，载明违法事实和证据、处罚依据和内容、申请行政复议或提起行政诉讼的途径和期限等内容（逾期不履行处罚决定的后果）。</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6.送达责任：行政处罚决定书按法律规定的方式送达当事人。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2.执法人员玩忽职守，对应当予以制止和处罚的违法行为不予制止、处罚，致使公民、法人或社会合法权益、公共利益遭受损害的；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3.不具备行政执法资格实施行政处罚的；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4.擅自改变行政处罚种类、幅度的以及违反法定的行政处罚程序的；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5.违反“罚缴分离”规定，擅自收取罚款的以及截留、私分或者变相私分罚款的；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6.符合听证条件、行政管理相对人要求听证，应予组织听证而不组织听证的；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6"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17</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对违法拒绝供电或中断供电的处罚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1.《中华人民共和国电力法》（1995年12月28日主席令第90号公布，自1996年4月1日起施行，2018年12月29日第十三届全国人民代表大会常务委员会第七次会议修正）第二十六条 供电营业区内的供电营业机构，对本营业区内的用户有按照国家规定供电的义务；不得违反国家规定对其营业区内申请用电的单位和个人拒绝供电。申请新装用电、临时用电、增加用电容量、变更用电和终止用电，应当依照规定的程序办理手续。供电企业应当在其营业场所公告用电的程序、制度和收费标准，并提供用户须知资料。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第二十九条 供电企业在发电、供电系统正常的情况下，应当连续向用户供电，不得中断。因供电设施检修、依法限电或者用户违法用电等原因，需要中断供电时，供电企业应当按照国家有关规定事先通知用户。用户对供电企业中断供电有异议的，可以向电力管理部门投诉；受理投诉的电力管理部门应当依法处理。第六十四条 违反本法第二十六条、第二十九条规定，拒绝供电或者中断供电的，由电力管理部门责令改正，给予警告；情节严重的，对有关主管人员和直接责任人员给予行政处分。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2.《供用电监督管理办法》（1996年5月19日电力工业部令第4号发布，自1996年9月起施行，2011年6月30日国家发展和改革委员会令第10号修改）第二十六条 供电企业未按《电力法》和国家有关规定中规定的时间通知用户或进行公告，而对用户中断供电的，电力管理部门责令其改正，给予警告；情节严重的，对有关主管人员和直接责任人员给予行政处分。</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1.立案责任：发现根据举报控告的违法行为或者上报移送的违法案件，及时制止并予以审查，决定是否立案。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2.调查责任：依法回避；两人以上出示执法证件；制作笔录、收集证据；允许辩解陈述；保守有关秘密。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3.审查责任：审理案件调查报告，对案件违法事实、证据、调查取证程序、法律适用、处罚种类和幅度、当事人陈述和申辩理由等方面进行审查，提出处理意见（主要证据不足时，以适当的方式补充调查）。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4.告知责任：作出行政处罚决定前，制作《行政处罚告知书》，告知违法事实及其享有的陈述、申辩等权利；满足听证条件的，制作《行政处罚听证告知书》告知当事人有要求举行听证的权利。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5.决定责任：制作行政处罚决定书，载明违法事实和证据、处罚依据和内容、申请行政复议或提起行政诉讼的途径和期限等内容（逾期不履行处罚决定的后果）。</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6.送达责任：行政处罚决定书按法律规定的方式送达当事人。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2.执法人员玩忽职守，对应当予以制止和处罚的违法行为不予制止、处罚，致使公民、法人或社会合法权益、公共利益遭受损害的；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3.不具备行政执法资格实施行政处罚的；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4.擅自改变行政处罚种类、幅度的以及违反法定的行政处罚程序的；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5.违反“罚缴分离”规定，擅自收取罚款的以及截留、私分或者变相私分罚款的；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6.符合听证条件、行政管理相对人要求听证，应予组织听证而不组织听证的；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5"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18</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对未按照规定报送能源利用状况报告或者报告内容不实的处罚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《中华人民共和国节约能源法》（主席令第九十号，1997年11月1日发布，1998年1月1日施行， 2016年7月2日主席令第四十八号修改，自2008年4月1日施行）第八十二条 重点用能单位未按照本法规定报送能源利用状况报告或者报告内容不实的，由管理节能工作的部门责令限期改正；逾期不改正的，处一万元以上五万元以下罚款。</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1.立案阶段责任：发现根据举报控告的违法行为或者上报移送的违法案件以及涉嫌违反《中华人民共和国节约能源法》等相关规定的违法行为，及时制止并予以审查，决定是否立案。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2.调查阶段责任：指定专人负责；依法回避；两人以上出示执法证件；制作笔录、收集证据；允许辩解陈述；保守有关秘密。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3.审查阶段责任：审理案件调查报告，对案件违法事实、证据、调查取证程序、法律适用、处罚种类和幅度、当事人陈述和申辩理由等方面进行审查，提出处理意见（主要证据不足时，以适当的方式补充调查）。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4.告知阶段责任：做出行政处罚决定前，应制作《行政处罚告知书》，送达当事人，告知违法事实及其享有的陈述、申辩等权利。拟作出较大数额罚款的，当事人要求听证的，应当组织听证。</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阶段责任：根据审查情况决定是否予以行政处罚；依法需要给予行政处罚的，应制作行政处罚决定书，载明违法事实和证据、处罚依据和内容、申请行政复议或提起行政诉讼的途径和期限等内容（逾期不履行处罚决定的后果）；符合集体研究的，由集体讨论决定，并按时办结。</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6.送达阶段责任：行政处罚决定书按法律规定的方式送达当事人。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7.执行阶段责任：监督当事人在决定期限内履行义务；书面催告当事人及时履行处罚决定；依法申请人民法院强制执行。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8.其他法律法规规章文件规定应履行的责任。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1.不按照法定条件或法定程序对违反节能法行为实施行政处罚的；没有法律和事实依据实施行政处罚的；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2.擅自改变处罚幅度、范围的；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3.执法人员玩忽职守，对应当予以制止和处罚的违法行为不予以制止、处罚，致使公民、法人或其他组织的合法利益、公共利益和社会秩序遭受损害的；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4.徇私舞弊、包庇、纵容用能违法行为的；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5.违法对当事人进行处罚不使用罚款、没收财物单据或者使用非法定部门制发的罚款、没收财物单据的；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6.在行政处罚过程中发生腐败行为的或使用、损毁扣押的财物，对当事人造成损失的；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7.其他违反法律法规、规章以及规范性文件规定的行为。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5"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19</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对未经许可从事供电或者变更供电营业区行为的处罚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1.《中华人民共和国电力法》（1995年12月28日主席令第90号公布，自1996年4月1日起施行，2018年12月29日第十三届全国人民代表大会常务委员会第七次会议修正）第二十五条 供电企业在批准的供电营业区内向用户供电。供电营业区的划分，应当考虑电网的结构和供电合理性等因素。一个供电营业区内只设立一个供电营业机构。供电营业区的设立、变更，由供电企业提出申请，电力管理部门依据职责和管理权限，会同同级有关部门审查批准后，发给《电力业务许可证》。供电营业区设立、变更的具体办法，由国务院电力管理部门制定。  第六十三条  违反本法第二十五条规定，未经许可，从事供电或者变更供电营业区的，由电力管理部门责令改正，没收违法所得，可以并处违法所得五倍以下的罚款。</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xml:space="preserve">2.《电力供应与使用条例》（1996年4月17日国务院令第196号发布，自1996年9月1日起施行，2016年2月6日国务院令第666号修改）第三十八条 违反本条例规定，有下列行为之一的，由电力管理部门责令改正，没收违法所得，可以并处违法所得5倍以下的罚款：（一）未按照规定取得《供电营业许可证》，从事电力供应业务的；（二）擅自伸入或者跨越供电营业区供电的；（三）擅自向外转供电的。 </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1.立案责任：发现根据举报控告的违法行为或者上报移送的违法案件，及时制止并予以审查，决定是否立案。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2.调查责任：依法回避；两人以上出示执法证件；制作笔录、收集证据；允许辩解陈述；保守有关秘密。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3.审查责任：审理案件调查报告，对案件违法事实、证据、调查取证程序、法律适用、处罚种类和幅度、当事人陈述和申辩理由等方面进行审查，提出处理意见（主要证据不足时，以适当的方式补充调查）。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4.告知责任：作出行政处罚决定前，制作《行政处罚告知书》，告知违法事实及其享有的陈述、申辩等权利；满足听证条件的，制作《行政处罚听证告知书》告知当事人有要求举行听证的权利。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5.决定责任：制作行政处罚决定书，载明违法事实和证据、处罚依据和内容、申请行政复议或提起行政诉讼的途径和期限等内容（逾期不履行处罚决定的后果）。</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6.送达责任：行政处罚决定书按法律规定的方式送达当事人。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2.执法人员玩忽职守，对应当予以制止和处罚的违法行为不予制止、处罚，致使公民、法人或社会合法权益、公共利益遭受损害的；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3.不具备行政执法资格实施行政处罚的；4.擅自改变行政处罚种类、幅度的以及违反法定的行政处罚程序的；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5.违反“罚缴分离”规定，擅自收取罚款的以及截留、私分或者变相私分罚款的；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6.符合听证条件、行政管理相对人要求听证，应予组织听证而不组织听证的；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8"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20</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对无偿向本单位职工提供能源或者能源消费实行包费制的处罚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《中华人民共和国节约能源法》（主席令第九十号，1997年11月1日发布，1998年1月1日施行， 2016年7月2日主席令第四十八号修改，自2008年4月1日施行）第七十七条 违反本法规定，无偿向本单位职工提供能源或者对能源消费实行包费制的，由管理节能工作的部门责令限期改正；逾期不改正的，处五万元以上二十万元以下罚款。</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1.立案阶段责任：受案部门在对报案、控告、举报、群众扭送或者违法嫌疑人投案，以及其他行政主管部门、司法机关移送的案件，应当及时受理。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2.调查阶段责任：受案部门对于立案的案件，指定专人负责调查，与当事人有直接利害关系的应当回避。调查时应出示执法证件，执法人员不得少于二人，执法人员应保守案件秘密。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3.案件审查阶段责任：受案部门应当对案件违法事实、证据、调查取证程序、法律适用、处罚种类和幅度、当事人陈述和申辩理由等内容进行审查，提出处理意见（主要证据不足的，及时调查补充）。</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4.告知阶段责任：受案部门在做出行政处罚前，应当告知当事人违法事实以及依法享有的陈述、申辩的权利，拟作出责令停产停业、吊销许可证或执照、较大数额罚款的，可以要求听证的权利。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阶段责任：受案部门根据案件审查情况决定是否予以行政处罚。依法给予行政处罚的，应当制作行政处罚决定书，载明违法事实和依据、处罚依据和内容、申请行政复议或提起行政诉讼的途径和期限等内容。</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6.送达阶段责任：行政处罚决定书应依法按时送达当事人。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7.执行阶段责任：监督当事人在决定期限内履行义务；书面催告当事人及时履行处罚决定；依法申请人民法院强制执行。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8.法律法规规定的其他责任。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-1【法律】《行政处罚法》（1996年中华人民共和国主席令第63号公布，2017年9月1日中华人民共和国主席令第七十六号修改后公布，自2018年1月1日起试行）第十五条“行政处罚由具有行政处罚权的行政机关在法定职权范围内实施。”</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1.不按照法定条件或法定程序对违反节能法行为实施行政处罚的；没有法律和事实依据实施行政处罚的；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2.擅自改变处罚幅度、范围的；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3.执法人员玩忽职守，对应当予以制止和处罚的违法行为不予以制止、处罚，致使公民、法人或其他组织的合法利益、公共利益和社会秩序遭受损害的；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4.徇私舞弊、包庇、纵容用能违法行为的；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5.违法对当事人进行处罚不使用罚款、没收财物单据或者使用非法定部门制发的罚款、没收财物单据的；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6.在行政处罚过程中发生腐败行为的或使用、损毁扣押的财物，对当事人造成损失的；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7.其他违反法律法规、规章以及规范性文件规定的行为。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5"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21</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对销售不符合标准煤炭的处罚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煤炭经营监管办法》（2014年7月30日国家发展和改革委员会令第13号公布，自2014年9月1日起施行）第二十八条销售或进口高灰分、高硫分劣质煤炭；向城市高污染燃料禁燃区等范围内单位或个人销售不符合规定标准煤炭的，由县级以上地方人民政府煤炭经营监督管理部门责令限期改正，逾期不改的，列入违法失信名单并向社会公示。</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1.立案责任：对在煤炭经营监督管理中发现的、社会举报的、上级煤炭经营管理监督管理机关交办的、下级煤炭经营监督管理部门报请或有关部门移送的线索予以审查，决定是否立案。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2.调查取证责任：承办人员应当及时调查取证，调查取证时应当2人以上并出示执法证件，按照法定程序、法定实体规定的要求全面、客观、公正地收集证据，听取当事人的陈述，并制作相应的法律文书。</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复核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5.决定责任：履行告知或根据陈述申辩（听证）复核情况，依法作出行政处罚决定，并制作陈述和申辩笔录、陈述和申辩复核意见书、听证笔录、听证意见书、行政处罚决定书等相关法律文书。</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6.送达责任：煤炭经营监督管理处罚决定书应当在宣告后当场交付当事人并取得送达回执。当事人不在场的，应当在7日内依照民事诉讼法的有关规定，将行政处罚决定书送达当事人。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当事人自觉履行行政处罚决定的，应当核实取证后办理结案手续；当事人不自觉履行的，依法履行催告程序后，申请人民法院强制执行或依法将当事人列入违法失信名单，执行情况符合结案条件的，办理结案手续。</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9.其他法律法规规章文件规定应履行的其他责任。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-1【法律】《行政处罚法》（1996年中华人民共和国主席令第63号公布，2017年9月1日中华人民共和国主席令第七十六号修改后公布，自2018年1月1日起试行）第十五条“行政处罚由具有行政处罚权的行政机关在法定职权范围内实施。”</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1.没有依法实施行政处罚的；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2.对应当依法移交司法机关不移交的；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3.执法人员玩忽职守，利用职务上的便利，索取或者收受他人财物的；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4.其他违反法律法规规定的行为。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5"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22</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对用户改变用电类别未告知供电企业的处罚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《广西壮族自治区供电用电办法》（2008年9月25日广西壮族自治区人民政府令第42号公布 ， 自2009年1月1日起施行，2016年9月26日广西壮族自治区人民政府令第112号修改）第二十三条  违反本办法规定，用户改变用电类别未告知供电企业的，由县级以上人民政府电力管理部门责令改正，给予警告，并处5000元以上3万元以下罚款。</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1.立案责任：发现根据举报控告的违法行为或者上报移送的违法案件，及时制止并予以审查，决定是否立案。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2.调查责任：依法回避；两人以上出示执法证件；制作笔录、收集证据；允许辩解陈述；保守有关秘密。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3.审查责任：审理案件调查报告，对案件违法事实、证据、调查取证程序、法律适用、处罚种类和幅度、当事人陈述和申辩理由等方面进行审查，提出处理意见（主要证据不足时，以适当的方式补充调查）。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4.告知责任：作出行政处罚决定前，制作《行政处罚告知书》，告知违法事实及其享有的陈述、申辩等权利；满足听证条件的，制作《行政处罚听证告知书》告知当事人有要求举行听证的权利。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5.决定责任：制作行政处罚决定书，载明违法事实和证据、处罚依据和内容、申请行政复议或提起行政诉讼的途径和期限等内容（逾期不履行处罚决定的后果）。</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6.送达责任：行政处罚决定书按法律规定的方式送达当事人。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-1【法律】《行政处罚法》（1996年中华人民共和国主席令第63号公布，2017年9月1日中华人民共和国主席令第七十六号修改后公布，自2018年1月1日起试行）第十五条“行政处罚由具有行政处罚权的行政机关在法定职权范围内实施。”</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2.执法人员玩忽职守，对应当予以制止和处罚的违法行为不予制止、处罚，致使公民、法人或社会合法权益、公共利益遭受损害的；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3.不具备行政执法资格实施行政处罚的；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4.擅自改变行政处罚种类、幅度的以及违反法定的行政处罚程序的；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5.违反“罚缴分离”规定，擅自收取罚款的以及截留、私分或者变相私分罚款的；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6.符合听证条件、行政管理相对人要求听证，应予组织听证而不组织听证的；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6"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23</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对用户用电违法违规行为的处罚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《广西壮族自治区供电用电办法》（2008年9月25日广西壮族自治区人民政府令第42号公布，自2009年1月1日起施行，2016年9月26日广西壮族自治区人民政府令第112号修改）第十九条 用户应当遵守下列规定：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（一）签订供用电合同；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（二）按照合同规定的用电类别用电；</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（三）按时交纳电费；</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（四）使用合格的配用电设施并保证其运行安全；</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（五）使用经法定的计量检定机构认可的用电计量装置；</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（六）注入电网的谐波电流以及冲击负荷、非对称负荷等对电能质量的污染不得超过国家标准；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（七）不得擅自拆封、更改、调整供电企业安装的用电计量装置；</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（八）其他法律、法规、规章的有关规定。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用户违反前款规定用电的，供电企业应当及时督促改正，可以根据违规事实和造成的后果追缴电费，并按照有关规定或者合同约定收取违约使用电费和其他费用；情节严重的，可以按照国家规定的程序停止供电。</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第二十六条  违反本办法第十九条第一款（三）、（四）、（五）、（六）项规定的，由县级以上人民政府电力管理部门责令改正，对居民用户可处1000元以下罚款；对单位用户可处3000元以上3万元以下的罚款。</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1.立案责任：发现根据举报控告的违法行为或者上报移送的违法案件，及时制止并予以审查，决定是否立案。</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2.调查责任：依法回避；两人以上出示执法证件；制作笔录、收集证据；允许辩解陈述；保守有关秘密。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3.审查责任：审理案件调查报告，对案件违法事实、证据、调查取证程序、法律适用、处罚种类和幅度、当事人陈述和申辩理由等方面进行审查，提出处理意见（主要证据不足时，以适当的方式补充调查）。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4.告知责任：作出行政处罚决定前，制作《行政处罚告知书》，告知违法事实及其享有的陈述、申辩等权利；满足听证条件的，制作《行政处罚听证告知书》告知当事人有要求举行听证的权利。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5.决定责任：制作行政处罚决定书，载明违法事实和证据、处罚依据和内容、申请行政复议或提起行政诉讼的途径和期限等内容（逾期不履行处罚决定的后果）。</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6.送达责任：行政处罚决定书按法律规定的方式送达当事人。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8.监管责任：对行政处罚等情况的监督检查。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9.其他法律法规规章文件规定应履行的责任。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实施行政处罚，有下列情形之一的，应承担相应的责任：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2.执法人员玩忽职守，对应当予以制止和处罚的违法行为不予制止、处罚，致使公民、法人或社会合法权益、公共利益遭受损害的；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3.不具备行政执法资格实施行政处罚的；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4.擅自改变行政处罚种类、幅度的以及违反法定的行政处罚程序的；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5.违反“罚缴分离”规定，擅自收取罚款的以及截留、私分或者变相私分罚款的；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6.符合听证条件、行政管理相对人要求听证，应予组织听证而不组织听证的；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2"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24</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对重点用能单位未按照规定设立能源管理岗位的处罚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《中华人民共和国节约能源法》（主席令第九十号，1997年11月1日发布，1998年1月1日施行， 2016年7月2日主席令第四十八号修改，自2008年4月1日施行）第八十四条重点用能单位未按照本法规定设立能源管理岗位，聘任能源管理负责人，并报管理节能工作的部门和有关部门备案的，由管理节能工作的部门责令改正；拒不改正的，处一万元以上三万元以下罚款。</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1.立案阶段责任：受案部门在对报案、控告、举报、群众扭送或者违法嫌疑人投案，以及其他行政主管部门、司法机关移送的案件，应当及时受理。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2.调查阶段责任：受案部门对于立案的案件，指定专人负责调查，与当事人有直接利害关系的应当回避。调查时应出示执法证件，执法人员不得少于二人，执法人员应保守案件秘密。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3.案件审查阶段责任：受案部门应当对案件违法事实、证据、调查取证程序、法律适用、处罚种类和幅度、当事人陈述和申辩理由等内容进行审查，提出处理意见（主要证据不足的，及时调查补充）。</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4.告知阶段责任：受案部门在做出行政处罚前，应当告知当事人违法事实以及依法享有的陈述、申辩的权利，拟作出责令停产停业、吊销许可证或执照、较大数额罚款的，可以要求听证的权利。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阶段责任：受案部门根据案件审查情况决定是否予以行政处罚。依法给予行政处罚的，应当制作行政处罚决定书，载明违法事实和依据、处罚依据和内容、申请行政复议或提起行政诉讼的途径和期限等内容。</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6.送达阶段责任：行政处罚决定书应依法按时送达当事人。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7.执行阶段责任：监督当事人在决定期限内履行义务；书面催告当事人及时履行处罚决定；依法申请人民法院强制执行。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8.法律法规规定的其他责任。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1.不按照法定条件或法定程序对违反节能法行为实施行政处罚的；没有法律和事实依据实施行政处罚的；2.擅自改变处罚幅度、范围的；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3.执法人员玩忽职守，对应当予以制止和处罚的违法行为不予以制止、处罚，致使公民、法人或其他组织的合法利益、公共利益和社会秩序遭受损害的；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4.徇私舞弊、包庇、纵容用能违法行为的；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5.违法对当事人进行处罚不使用罚款、没收财物单据或者使用非法定部门制发的罚款、没收财物单据的；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6.在行政处罚过程中发生腐败行为的或使用、损毁扣押的财物，对当事人造成损失的；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7.其他违反法律法规、规章以及规范性文件规定的行为。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9" w:hRule="atLeast"/>
        </w:trPr>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25</w:t>
            </w:r>
          </w:p>
        </w:tc>
        <w:tc>
          <w:tcPr>
            <w:tcW w:w="900"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40"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对重点用能单位无正当理由拒不落实整改要求或者整改没有达到要求的处罚</w:t>
            </w:r>
          </w:p>
        </w:tc>
        <w:tc>
          <w:tcPr>
            <w:tcW w:w="1335"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《中华人民共和国节约能源法》（主席令第九十号，1997年11月1日发布，1998年1月1日施行， 2016年7月2日主席令第四十八号修改，自2008年4月1日施行）第五十四条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第八十三条重点用能单位无正当理由拒不落实本法第五十四条规定的整改要求或者整改没有达到要求的，由管理节能工作的部门处十万元以上三十万元以下罚款。</w:t>
            </w:r>
          </w:p>
        </w:tc>
        <w:tc>
          <w:tcPr>
            <w:tcW w:w="1499" w:type="dxa"/>
            <w:vAlign w:val="center"/>
          </w:tcPr>
          <w:p>
            <w:pPr>
              <w:widowControl/>
              <w:adjustRightInd w:val="0"/>
              <w:snapToGrid w:val="0"/>
              <w:spacing w:line="140"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1.立案阶段责任：受案部门在对报案、控告、举报、群众扭送或者违法嫌疑人投案，以及其他行政主管部门、司法机关移送的案件，应当及时受理。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2.调查阶段责任：受案部门对于立案的案件，指定专人负责调查，与当事人有直接利害关系的应当回避。调查时应出示执法证件，执法人员不得少于二人，执法人员应保守案件秘密。</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3.案件审查阶段责任：受案部门应当对案件违法事实、证据、调查取证程序、法律适用、处罚种类和幅度、当事人陈述和申辩理由等内容进行审查，提出处理意见（主要证据不足的，及时调查补充）。</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4.告知阶段责任：受案部门在做出行政处罚前，应当告知当事人违法事实以及依法享有的陈述、申辩的权利，拟作出责令停产停业、吊销许可证或执照、较大数额罚款的，可以要求听证的权利。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阶段责任：受案部门根据案件审查情况决定是否予以行政处罚。依法给予行政处罚的，应当制作行政处罚决定书，载明违法事实和依据、处罚依据和内容、申请行政复议或提起行政诉讼的途径和期限等内容。</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6.送达阶段责任：行政处罚决定书应依法按时送达当事人。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7.执行阶段责任：监督当事人在决定期限内履行义务；书面催告当事人及时履行处罚决定；依法申请人民法院强制执行。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8.法律法规规定的其他责任。</w:t>
            </w:r>
          </w:p>
        </w:tc>
        <w:tc>
          <w:tcPr>
            <w:tcW w:w="4652"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-1【法律】《行政处罚法》（1996年中华人民共和国主席令第63号公布，2017年9月1日中华人民共和国主席令第七十六号修改后公布，自2018年1月1日起试行）第十五条“行政处罚由具有行政处罚权的行政机关在法定职权范围内实施。”</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因不履行或不正确履行行政职责，有下列情形的，行政机关及相关工作人员应承担相应责任：</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1.不按照法定条件或法定程序对违反节能法行为实施行政处罚的；没有法律和事实依据实施行政处罚的；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2.擅自改变处罚幅度、范围的；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3.执法人员玩忽职守，对应当予以制止和处罚的违法行为不予以制止、处罚，致使公民、法人或其他组织的合法利益、公共利益和社会秩序遭受损害的；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4.徇私舞弊、包庇、纵容用能违法行为的；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5.违法对当事人进行处罚不使用罚款、没收财物单据或者使用非法定部门制发的罚款、没收财物单据的；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6.在行政处罚过程中发生腐败行为的或使用或者损毁扣押的财物，对当事人造成损失的；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7.其他违反法律法规和规章以及规范性文件规定的行为。</w:t>
            </w:r>
          </w:p>
        </w:tc>
        <w:tc>
          <w:tcPr>
            <w:tcW w:w="2744" w:type="dxa"/>
            <w:vAlign w:val="center"/>
          </w:tcPr>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40"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eastAsia="宋体"/>
                <w:color w:val="auto"/>
                <w:vertAlign w:val="baseline"/>
                <w:lang w:val="en-US" w:eastAsia="zh-CN"/>
              </w:rPr>
            </w:pPr>
            <w:r>
              <w:rPr>
                <w:rFonts w:hint="eastAsia"/>
                <w:color w:val="auto"/>
                <w:vertAlign w:val="baseline"/>
                <w:lang w:val="en-US" w:eastAsia="zh-CN"/>
              </w:rPr>
              <w:t>26</w:t>
            </w:r>
          </w:p>
        </w:tc>
        <w:tc>
          <w:tcPr>
            <w:tcW w:w="900" w:type="dxa"/>
            <w:vAlign w:val="center"/>
          </w:tcPr>
          <w:p>
            <w:pPr>
              <w:widowControl/>
              <w:adjustRightInd w:val="0"/>
              <w:snapToGrid w:val="0"/>
              <w:spacing w:line="124"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县（市、区）</w:t>
            </w:r>
          </w:p>
        </w:tc>
        <w:tc>
          <w:tcPr>
            <w:tcW w:w="724" w:type="dxa"/>
            <w:vAlign w:val="center"/>
          </w:tcPr>
          <w:p>
            <w:pPr>
              <w:widowControl/>
              <w:adjustRightInd w:val="0"/>
              <w:snapToGrid w:val="0"/>
              <w:spacing w:line="124" w:lineRule="exact"/>
              <w:jc w:val="center"/>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行政处罚</w:t>
            </w:r>
          </w:p>
        </w:tc>
        <w:tc>
          <w:tcPr>
            <w:tcW w:w="1066" w:type="dxa"/>
            <w:vAlign w:val="center"/>
          </w:tcPr>
          <w:p>
            <w:pPr>
              <w:widowControl/>
              <w:adjustRightInd w:val="0"/>
              <w:snapToGrid w:val="0"/>
              <w:spacing w:line="124"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对阻碍、拒绝节能监察的行政处罚</w:t>
            </w:r>
          </w:p>
        </w:tc>
        <w:tc>
          <w:tcPr>
            <w:tcW w:w="1335" w:type="dxa"/>
            <w:vAlign w:val="center"/>
          </w:tcPr>
          <w:p>
            <w:pPr>
              <w:widowControl/>
              <w:adjustRightInd w:val="0"/>
              <w:snapToGrid w:val="0"/>
              <w:spacing w:line="124"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554" w:type="dxa"/>
            <w:vAlign w:val="center"/>
          </w:tcPr>
          <w:p>
            <w:pPr>
              <w:widowControl/>
              <w:adjustRightInd w:val="0"/>
              <w:snapToGrid w:val="0"/>
              <w:spacing w:line="124"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　</w:t>
            </w:r>
          </w:p>
        </w:tc>
        <w:tc>
          <w:tcPr>
            <w:tcW w:w="2859" w:type="dxa"/>
            <w:vAlign w:val="center"/>
          </w:tcPr>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《中华人民共和国节约能源法》（主席令第九十号，1997年11月1日发布，1998年1月1日施行， 2016年7月2日主席令第四十八号修改，自2008年4月1日施行）第十二条县级以上人民政府管理节能工作的部门和有关部门应当在各自的职责范围内，加强对节能法律、法规和节能标准执行情况的监督检查，依法查处违法用能行为。《广西壮族自治区实施&lt;中华人民共和国节约能源法&gt;办法》（2013年5月30日自治区十二届人大公告第7号公布自2013年9月1日起施行）第三十四条用能单位阻碍或者拒绝接受节能监督检查的，由县级以上人民政府有关节能监督管理部门按照职权予以警告，责令限期改正；逾期不改正的，可以处五千元以上五万元以下罚款。</w:t>
            </w:r>
          </w:p>
        </w:tc>
        <w:tc>
          <w:tcPr>
            <w:tcW w:w="1499" w:type="dxa"/>
            <w:vAlign w:val="center"/>
          </w:tcPr>
          <w:p>
            <w:pPr>
              <w:widowControl/>
              <w:adjustRightInd w:val="0"/>
              <w:snapToGrid w:val="0"/>
              <w:spacing w:line="124" w:lineRule="exact"/>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lang w:eastAsia="zh-CN"/>
              </w:rPr>
              <w:t>柳南区</w:t>
            </w:r>
            <w:r>
              <w:rPr>
                <w:rFonts w:hint="eastAsia" w:ascii="方正书宋_GBK" w:hAnsi="宋体" w:eastAsia="方正书宋_GBK" w:cs="宋体"/>
                <w:color w:val="auto"/>
                <w:kern w:val="0"/>
                <w:sz w:val="11"/>
                <w:szCs w:val="11"/>
              </w:rPr>
              <w:t>工业和信息化部门</w:t>
            </w:r>
          </w:p>
        </w:tc>
        <w:tc>
          <w:tcPr>
            <w:tcW w:w="2287" w:type="dxa"/>
            <w:vAlign w:val="center"/>
          </w:tcPr>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1.立案阶段责任：受案部门在对报案、控告、举报、群众扭送或者违法嫌疑人投案，以及其他行政主管部门、司法机关移送的案件，应当及时受理。</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2.调查阶段责任：受案部门对于立案的案件，指定专人负责调查，与当事人有直接利害关系的应当回避。调查时应出示执法证件，执法人员不得少于二人，执法人员应保守案件秘密。</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3.案件审查阶段责任：受案部门应当对案件违法事实、证据、调查取证程序、法律适用、处罚种类和幅度、当事人陈述和申辩理由等内容进行审查，提出处理意见（主要证据不足的，及时调查补充）。</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4.告知阶段责任：受案部门在做出行政处罚前，应当告知当事人违法事实以及依法享有的陈述、申辩的权利，拟作出责令停产停业、吊销许可证或执照、较大数额罚款的，可以要求听证的权利。</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决定阶段责任：受案部门根据案件审查情况决定是否予以行政处罚。依法给予行政处罚的，应当制作行政处罚决定书，载明违法事实和依据、处罚依据和内容、申请行政复议或提起行政诉讼的途径和期限等内容。</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6.送达阶段责任：行政处罚决定书应依法按时送达当事人。</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7.执行阶段责任：监督当事人在决定期限内履行义务；书面催告当事人及时履行处罚决定；依法申请人民法院强制执行。</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8.法律法规规定的其他责任。</w:t>
            </w:r>
          </w:p>
        </w:tc>
        <w:tc>
          <w:tcPr>
            <w:tcW w:w="4652" w:type="dxa"/>
            <w:vAlign w:val="center"/>
          </w:tcPr>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-1【法律】《行政处罚法》（1996年中华人民共和国主席令第63号公布，2017年9月1日中华人民共和国主席令第七十六号修改后公布，自2018年1月1日起试行）第十五条“行政处罚由具有行政处罚权的行政机关在法定职权范围内实施。”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-2【法律】《行政处罚法》（1996年中华人民共和国主席令第63号公布，2017年9月1日中华人民共和国主席令第七十六号修改后公布，自2018年1月1日起试行）第二十条“行政处罚由违法行为发生地的县级以上地方人民政府具有行政处罚权的行政机关管辖。法律、行政法规另有规定的除外。”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1-3【法律】《行政处罚法》（1996年中华人民共和国主席令第63号公布，2017年9月1日中华人民共和国主席令第七十六号修改后公布，自2018年1月1日起试行）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2.【法律】《行政处罚法》（1996年中华人民共和国主席令第63号公布，2017年9月1日中华人民共和国主席令第七十六号修改后公布，自2018年1月1日起试行）第三十六条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3.【法律】《行政处罚法》（1996年中华人民共和国主席令第63号公布，2017年9月1日中华人民共和国主席令第七十六号修改后公布，自2018年1月1日起试行）第三十八条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在行政机关负责人作出决定之前，应当由从事行政处罚决定审核的人员进行审核。行政机关中初次从事行政处罚决定审核的人员，应当通过国家统一法律职业资格考试取得法律职业资格。”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4-1【法律】《行政处罚法》（1996年中华人民共和国主席令第63号公布，2017年9月1日中华人民共和国主席令第七十六号修改后公布，自2018年1月1日起试行）第三十一条 “行政机关在作出行政处罚决定之前，应当告知当事人作出行政处罚决定的事实、理由及依据，并告知当事人依法享有的权利。”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4-2【法律】《行政处罚法》（1996年中华人民共和国主席令第63号公布，2017年9月1日中华人民共和国主席令第七十六号修改后公布，自2018年1月1日起试行）第四十二条“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一）当事人要求听证的，应当在行政机关告知后三日内提出；（二）行政机关应当在听证的七日前，通知当事人举行听证的时间、地点；（三）除涉及国家秘密、商业秘密或者个人隐私外，听证公开举行；（四）听证由行政机关指定的非本案调查人员主持；当事人认为主持人与本案有直接利害关系的，有权申请回避；（五）当事人可以亲自参加听证，也可以委托一至二人代理；（六）举行听证时，调查人员提出当事人违法的事实、证据和行政处罚建议；当事人进行申辩和质证；（七）听证应当制作笔录；笔录应当交当事人审核无误后签字或者盖章。当事人对限制人身自由的行政处罚有异议的，依照治安管理处罚法有关规定执行。”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5-1【法律】《行政处罚法》（1996年中华人民共和国主席令第63号公布，2017年9月1日中华人民共和国主席令第七十六号修改后公布，自2018年1月1日起试行）第三十八条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5-2【法律】《行政处罚法》（1996年中华人民共和国主席令第63号公布，2017年9月1日中华人民共和国主席令第七十六号修改后公布，自2018年1月1日起试行）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6.【法律】《行政处罚法》（1996年中华人民共和国主席令第63号公布，2017年9月1日中华人民共和国主席令第七十六号修改后公布，自2018年1月1日起试行）第四十条“行政处罚决定书应当在宣告当场交付当事人；当事人不在场的，行政机关应当在七日内依照民事诉讼法的有关规定，将行政处罚决定书送达当事人”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 xml:space="preserve">7-1【法律】《行政处罚法》（1996年中华人民共和国主席令第63号公布，2017年9月1日中华人民共和国主席令第七十六号修改后公布，自2018年1月1日起试行）第四十四条 “行政处罚决定依法作出后，当事人应当在行政处罚决定的极限内予以履行”  </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-2【法律】《行政处罚法》（1996年中华人民共和国主席令第63号公布，2017年9月1日中华人民共和国主席令第七十六号修改后公布，自2018年1月1日起试行）第五十四条“行政机关应当建立健全对行政处罚的监督制度。县级以上人民政府应当加强对行政处罚的监督检查。公民、法人或者其他组织对行政机关作出的行政处罚，有权申诉或者检举；行政机关应当认真审查，发现行政处罚有错误的，应当主动改正。”</w:t>
            </w:r>
          </w:p>
        </w:tc>
        <w:tc>
          <w:tcPr>
            <w:tcW w:w="1923" w:type="dxa"/>
            <w:vAlign w:val="center"/>
          </w:tcPr>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因不履行或不正确履行行政职责，有下列情形的，行政机关及相关工作人员应承担相应责任：</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1.不按照法定条件或法定程序对违反节能法行为实施行政处罚的；没有法律和事实依据实施行政处罚的；</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2.擅自改变处罚幅度、范围的；</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3.执法人员玩忽职守，对应当予以制止和处罚的违法行为不予以制止、处罚，致使公民、法人或其他组织的合法利益、公共利益和社会秩序遭受损害的；</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4.徇私舞弊、包庇、纵容用能违法行为的；</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5.违法对当事人进行处罚不使用罚款、没收财物单据或者使用非法定部门制发的罚款、没收财物单据的；</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6.在行政处罚过程中发生腐败行为的或使用、损毁扣押的财物，对当事人造成损失的；</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7.其他违反法律法规、规章以及规范性文件规定的行为。</w:t>
            </w:r>
          </w:p>
        </w:tc>
        <w:tc>
          <w:tcPr>
            <w:tcW w:w="2744" w:type="dxa"/>
            <w:vAlign w:val="center"/>
          </w:tcPr>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rPr>
            </w:pPr>
            <w:r>
              <w:rPr>
                <w:rFonts w:hint="eastAsia" w:ascii="方正书宋_GBK" w:hAnsi="宋体" w:eastAsia="方正书宋_GBK" w:cs="宋体"/>
                <w:color w:val="auto"/>
                <w:kern w:val="0"/>
                <w:sz w:val="11"/>
                <w:szCs w:val="11"/>
              </w:rPr>
              <w:t>1.【法律】《中华人民共和国行政处罚法》（1996年主席令第六十三号公布）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p>
            <w:pPr>
              <w:widowControl/>
              <w:adjustRightInd w:val="0"/>
              <w:snapToGrid w:val="0"/>
              <w:spacing w:line="124" w:lineRule="exact"/>
              <w:ind w:firstLine="220" w:firstLineChars="200"/>
              <w:rPr>
                <w:rFonts w:hint="eastAsia" w:ascii="方正书宋_GBK" w:hAnsi="宋体" w:eastAsia="方正书宋_GBK" w:cs="宋体"/>
                <w:color w:val="auto"/>
                <w:kern w:val="0"/>
                <w:sz w:val="11"/>
                <w:szCs w:val="11"/>
                <w:lang w:val="en-US" w:eastAsia="zh-CN" w:bidi="ar-SA"/>
              </w:rPr>
            </w:pPr>
            <w:r>
              <w:rPr>
                <w:rFonts w:hint="eastAsia" w:ascii="方正书宋_GBK" w:hAnsi="宋体" w:eastAsia="方正书宋_GBK" w:cs="宋体"/>
                <w:color w:val="auto"/>
                <w:kern w:val="0"/>
                <w:sz w:val="11"/>
                <w:szCs w:val="11"/>
              </w:rPr>
              <w:t>2.【法律】《中华人民共和国行政处罚法》（1996年主席令第六十三号公布）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697" w:type="dxa"/>
          </w:tcPr>
          <w:p>
            <w:pPr>
              <w:rPr>
                <w:color w:val="auto"/>
                <w:vertAlign w:val="baseline"/>
              </w:rPr>
            </w:pPr>
          </w:p>
        </w:tc>
      </w:tr>
    </w:tbl>
    <w:p/>
    <w:sectPr>
      <w:pgSz w:w="23757" w:h="16783" w:orient="landscape"/>
      <w:pgMar w:top="1134"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A72DC"/>
    <w:rsid w:val="02423DE7"/>
    <w:rsid w:val="0EBD6B19"/>
    <w:rsid w:val="14271B44"/>
    <w:rsid w:val="15CA6B5C"/>
    <w:rsid w:val="198E2314"/>
    <w:rsid w:val="1C6C3248"/>
    <w:rsid w:val="1EB1095F"/>
    <w:rsid w:val="1EE242C0"/>
    <w:rsid w:val="20426748"/>
    <w:rsid w:val="20D80C85"/>
    <w:rsid w:val="22011F1E"/>
    <w:rsid w:val="27C01C01"/>
    <w:rsid w:val="2D6F5E5D"/>
    <w:rsid w:val="2EF12B5F"/>
    <w:rsid w:val="30057678"/>
    <w:rsid w:val="392D40B9"/>
    <w:rsid w:val="415B5748"/>
    <w:rsid w:val="42574498"/>
    <w:rsid w:val="5342248D"/>
    <w:rsid w:val="58F71E97"/>
    <w:rsid w:val="5ADB1709"/>
    <w:rsid w:val="5B6F46A2"/>
    <w:rsid w:val="6A452E22"/>
    <w:rsid w:val="6AC14E4E"/>
    <w:rsid w:val="6E5C0CAB"/>
    <w:rsid w:val="71A03601"/>
    <w:rsid w:val="72403CA4"/>
    <w:rsid w:val="78D63289"/>
    <w:rsid w:val="7EBC3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Wood  White丶</cp:lastModifiedBy>
  <dcterms:modified xsi:type="dcterms:W3CDTF">2020-05-20T09:31:40Z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