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napToGrid w:val="0"/>
          <w:color w:val="000000"/>
          <w:sz w:val="44"/>
          <w:szCs w:val="44"/>
          <w:lang w:eastAsia="zh-CN"/>
        </w:rPr>
      </w:pPr>
      <w:r>
        <w:rPr>
          <w:rFonts w:hint="eastAsia" w:ascii="方正小标宋_GBK" w:eastAsia="方正小标宋_GBK"/>
          <w:snapToGrid w:val="0"/>
          <w:color w:val="000000"/>
          <w:sz w:val="44"/>
          <w:szCs w:val="44"/>
        </w:rPr>
        <w:t>柳州市柳南区</w:t>
      </w:r>
      <w:r>
        <w:rPr>
          <w:rFonts w:hint="eastAsia" w:ascii="方正小标宋_GBK" w:eastAsia="方正小标宋_GBK"/>
          <w:snapToGrid w:val="0"/>
          <w:color w:val="000000"/>
          <w:sz w:val="44"/>
          <w:szCs w:val="44"/>
          <w:lang w:eastAsia="zh-CN"/>
        </w:rPr>
        <w:t>工业和信息化局</w:t>
      </w:r>
      <w:r>
        <w:rPr>
          <w:rFonts w:hint="eastAsia" w:ascii="方正小标宋_GBK" w:eastAsia="方正小标宋_GBK"/>
          <w:snapToGrid w:val="0"/>
          <w:color w:val="000000"/>
          <w:sz w:val="44"/>
          <w:szCs w:val="44"/>
        </w:rPr>
        <w:t>权责清单规范化通用目录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00"/>
        <w:gridCol w:w="724"/>
        <w:gridCol w:w="1066"/>
        <w:gridCol w:w="1335"/>
        <w:gridCol w:w="554"/>
        <w:gridCol w:w="2859"/>
        <w:gridCol w:w="1499"/>
        <w:gridCol w:w="2287"/>
        <w:gridCol w:w="4652"/>
        <w:gridCol w:w="1923"/>
        <w:gridCol w:w="2744"/>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465" w:type="dxa"/>
            <w:vMerge w:val="restart"/>
            <w:vAlign w:val="center"/>
          </w:tcPr>
          <w:p>
            <w:pPr>
              <w:widowControl/>
              <w:adjustRightInd w:val="0"/>
              <w:snapToGrid w:val="0"/>
              <w:spacing w:line="140" w:lineRule="exact"/>
              <w:jc w:val="center"/>
              <w:rPr>
                <w:rFonts w:hint="eastAsia" w:ascii="方正黑体_GBK" w:hAnsi="宋体" w:eastAsia="方正黑体_GBK" w:cs="宋体"/>
                <w:bCs/>
                <w:color w:val="auto"/>
                <w:kern w:val="0"/>
                <w:sz w:val="11"/>
                <w:szCs w:val="11"/>
              </w:rPr>
            </w:pPr>
            <w:r>
              <w:rPr>
                <w:rFonts w:hint="eastAsia" w:ascii="方正黑体_GBK" w:hAnsi="宋体" w:eastAsia="方正黑体_GBK" w:cs="宋体"/>
                <w:bCs/>
                <w:color w:val="auto"/>
                <w:kern w:val="0"/>
                <w:sz w:val="11"/>
                <w:szCs w:val="11"/>
              </w:rPr>
              <w:t>序</w:t>
            </w:r>
          </w:p>
          <w:p>
            <w:pPr>
              <w:widowControl/>
              <w:adjustRightInd w:val="0"/>
              <w:snapToGrid w:val="0"/>
              <w:spacing w:line="140" w:lineRule="exact"/>
              <w:jc w:val="center"/>
              <w:rPr>
                <w:color w:val="auto"/>
                <w:vertAlign w:val="baseline"/>
              </w:rPr>
            </w:pPr>
            <w:r>
              <w:rPr>
                <w:rFonts w:hint="eastAsia" w:ascii="方正黑体_GBK" w:hAnsi="宋体" w:eastAsia="方正黑体_GBK" w:cs="宋体"/>
                <w:bCs/>
                <w:color w:val="auto"/>
                <w:kern w:val="0"/>
                <w:sz w:val="11"/>
                <w:szCs w:val="11"/>
              </w:rPr>
              <w:t>号</w:t>
            </w:r>
          </w:p>
        </w:tc>
        <w:tc>
          <w:tcPr>
            <w:tcW w:w="900" w:type="dxa"/>
            <w:vMerge w:val="restart"/>
            <w:vAlign w:val="center"/>
          </w:tcPr>
          <w:p>
            <w:pPr>
              <w:widowControl/>
              <w:adjustRightInd w:val="0"/>
              <w:snapToGrid w:val="0"/>
              <w:spacing w:line="140" w:lineRule="exact"/>
              <w:jc w:val="center"/>
              <w:rPr>
                <w:rFonts w:hint="eastAsia" w:ascii="方正黑体_GBK" w:hAnsi="宋体" w:eastAsia="方正黑体_GBK" w:cs="宋体"/>
                <w:bCs/>
                <w:color w:val="auto"/>
                <w:kern w:val="0"/>
                <w:sz w:val="11"/>
                <w:szCs w:val="11"/>
              </w:rPr>
            </w:pPr>
            <w:r>
              <w:rPr>
                <w:rFonts w:hint="eastAsia" w:ascii="方正黑体_GBK" w:hAnsi="宋体" w:eastAsia="方正黑体_GBK" w:cs="宋体"/>
                <w:bCs/>
                <w:color w:val="auto"/>
                <w:kern w:val="0"/>
                <w:sz w:val="11"/>
                <w:szCs w:val="11"/>
              </w:rPr>
              <w:t>实施</w:t>
            </w:r>
          </w:p>
          <w:p>
            <w:pPr>
              <w:widowControl/>
              <w:adjustRightInd w:val="0"/>
              <w:snapToGrid w:val="0"/>
              <w:spacing w:line="140" w:lineRule="exact"/>
              <w:jc w:val="center"/>
              <w:rPr>
                <w:color w:val="auto"/>
                <w:vertAlign w:val="baseline"/>
              </w:rPr>
            </w:pPr>
            <w:r>
              <w:rPr>
                <w:rFonts w:hint="eastAsia" w:ascii="方正黑体_GBK" w:hAnsi="宋体" w:eastAsia="方正黑体_GBK" w:cs="宋体"/>
                <w:bCs/>
                <w:color w:val="auto"/>
                <w:kern w:val="0"/>
                <w:sz w:val="11"/>
                <w:szCs w:val="11"/>
              </w:rPr>
              <w:t>层级</w:t>
            </w:r>
          </w:p>
        </w:tc>
        <w:tc>
          <w:tcPr>
            <w:tcW w:w="8037" w:type="dxa"/>
            <w:gridSpan w:val="6"/>
            <w:vAlign w:val="center"/>
          </w:tcPr>
          <w:p>
            <w:pPr>
              <w:widowControl/>
              <w:adjustRightInd w:val="0"/>
              <w:snapToGrid w:val="0"/>
              <w:spacing w:line="140" w:lineRule="exact"/>
              <w:jc w:val="center"/>
              <w:rPr>
                <w:rFonts w:hint="eastAsia" w:ascii="方正黑体_GBK" w:hAnsi="宋体" w:eastAsia="方正黑体_GBK" w:cs="宋体"/>
                <w:bCs/>
                <w:color w:val="auto"/>
                <w:kern w:val="0"/>
                <w:sz w:val="11"/>
                <w:szCs w:val="11"/>
                <w:lang w:val="en-US" w:eastAsia="zh-CN" w:bidi="ar-SA"/>
              </w:rPr>
            </w:pPr>
            <w:r>
              <w:rPr>
                <w:rFonts w:hint="eastAsia" w:ascii="方正黑体_GBK" w:hAnsi="宋体" w:eastAsia="方正黑体_GBK" w:cs="宋体"/>
                <w:bCs/>
                <w:color w:val="auto"/>
                <w:kern w:val="0"/>
                <w:sz w:val="11"/>
                <w:szCs w:val="11"/>
              </w:rPr>
              <w:t>权力清单</w:t>
            </w:r>
          </w:p>
        </w:tc>
        <w:tc>
          <w:tcPr>
            <w:tcW w:w="11606" w:type="dxa"/>
            <w:gridSpan w:val="4"/>
            <w:vAlign w:val="center"/>
          </w:tcPr>
          <w:p>
            <w:pPr>
              <w:widowControl/>
              <w:adjustRightInd w:val="0"/>
              <w:snapToGrid w:val="0"/>
              <w:spacing w:line="140" w:lineRule="exact"/>
              <w:jc w:val="center"/>
              <w:rPr>
                <w:rFonts w:hint="eastAsia" w:ascii="方正黑体_GBK" w:hAnsi="宋体" w:eastAsia="方正黑体_GBK" w:cs="宋体"/>
                <w:bCs/>
                <w:color w:val="auto"/>
                <w:kern w:val="0"/>
                <w:sz w:val="11"/>
                <w:szCs w:val="11"/>
                <w:lang w:val="en-US" w:eastAsia="zh-CN" w:bidi="ar-SA"/>
              </w:rPr>
            </w:pPr>
            <w:r>
              <w:rPr>
                <w:rFonts w:hint="eastAsia" w:ascii="方正黑体_GBK" w:hAnsi="宋体" w:eastAsia="方正黑体_GBK" w:cs="宋体"/>
                <w:bCs/>
                <w:color w:val="auto"/>
                <w:kern w:val="0"/>
                <w:sz w:val="11"/>
                <w:szCs w:val="11"/>
              </w:rPr>
              <w:t>责任清单</w:t>
            </w:r>
          </w:p>
        </w:tc>
        <w:tc>
          <w:tcPr>
            <w:tcW w:w="697" w:type="dxa"/>
            <w:vMerge w:val="restart"/>
            <w:vAlign w:val="center"/>
          </w:tcPr>
          <w:p>
            <w:pPr>
              <w:jc w:val="center"/>
              <w:rPr>
                <w:rFonts w:hint="eastAsia" w:eastAsia="宋体"/>
                <w:color w:val="auto"/>
                <w:vertAlign w:val="baseline"/>
                <w:lang w:val="en-US" w:eastAsia="zh-CN"/>
              </w:rPr>
            </w:pPr>
            <w:r>
              <w:rPr>
                <w:rFonts w:hint="eastAsia" w:ascii="方正黑体_GBK" w:hAnsi="宋体" w:eastAsia="方正黑体_GBK" w:cs="宋体"/>
                <w:color w:val="auto"/>
                <w:kern w:val="0"/>
                <w:sz w:val="11"/>
                <w:szCs w:val="1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5" w:type="dxa"/>
            <w:vMerge w:val="continue"/>
          </w:tcPr>
          <w:p>
            <w:pPr>
              <w:rPr>
                <w:color w:val="auto"/>
                <w:vertAlign w:val="baseline"/>
              </w:rPr>
            </w:pPr>
          </w:p>
        </w:tc>
        <w:tc>
          <w:tcPr>
            <w:tcW w:w="900" w:type="dxa"/>
            <w:vMerge w:val="continue"/>
          </w:tcPr>
          <w:p>
            <w:pPr>
              <w:rPr>
                <w:color w:val="auto"/>
                <w:vertAlign w:val="baseline"/>
              </w:rPr>
            </w:pPr>
          </w:p>
        </w:tc>
        <w:tc>
          <w:tcPr>
            <w:tcW w:w="724"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权力分类</w:t>
            </w:r>
          </w:p>
        </w:tc>
        <w:tc>
          <w:tcPr>
            <w:tcW w:w="1066"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项目名称</w:t>
            </w:r>
          </w:p>
        </w:tc>
        <w:tc>
          <w:tcPr>
            <w:tcW w:w="1335"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子项</w:t>
            </w:r>
          </w:p>
        </w:tc>
        <w:tc>
          <w:tcPr>
            <w:tcW w:w="554"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办理项</w:t>
            </w:r>
          </w:p>
        </w:tc>
        <w:tc>
          <w:tcPr>
            <w:tcW w:w="2859"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实施依据</w:t>
            </w:r>
          </w:p>
        </w:tc>
        <w:tc>
          <w:tcPr>
            <w:tcW w:w="1499"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rPr>
            </w:pPr>
            <w:r>
              <w:rPr>
                <w:rFonts w:hint="eastAsia" w:ascii="方正黑体_GBK" w:hAnsi="宋体" w:eastAsia="方正黑体_GBK" w:cs="宋体"/>
                <w:color w:val="auto"/>
                <w:kern w:val="0"/>
                <w:sz w:val="11"/>
                <w:szCs w:val="11"/>
              </w:rPr>
              <w:t>承办的职能</w:t>
            </w:r>
          </w:p>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部门机构</w:t>
            </w:r>
          </w:p>
        </w:tc>
        <w:tc>
          <w:tcPr>
            <w:tcW w:w="2287"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责任事项</w:t>
            </w:r>
          </w:p>
        </w:tc>
        <w:tc>
          <w:tcPr>
            <w:tcW w:w="4652"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责任事项依据</w:t>
            </w:r>
          </w:p>
        </w:tc>
        <w:tc>
          <w:tcPr>
            <w:tcW w:w="1923"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追责情形</w:t>
            </w:r>
          </w:p>
        </w:tc>
        <w:tc>
          <w:tcPr>
            <w:tcW w:w="2744" w:type="dxa"/>
            <w:vAlign w:val="center"/>
          </w:tcPr>
          <w:p>
            <w:pPr>
              <w:widowControl/>
              <w:adjustRightInd w:val="0"/>
              <w:snapToGrid w:val="0"/>
              <w:spacing w:line="140" w:lineRule="exact"/>
              <w:jc w:val="center"/>
              <w:rPr>
                <w:rFonts w:hint="eastAsia" w:ascii="方正黑体_GBK" w:hAnsi="宋体" w:eastAsia="方正黑体_GBK" w:cs="宋体"/>
                <w:color w:val="auto"/>
                <w:kern w:val="0"/>
                <w:sz w:val="11"/>
                <w:szCs w:val="11"/>
                <w:lang w:val="en-US" w:eastAsia="zh-CN" w:bidi="ar-SA"/>
              </w:rPr>
            </w:pPr>
            <w:r>
              <w:rPr>
                <w:rFonts w:hint="eastAsia" w:ascii="方正黑体_GBK" w:hAnsi="宋体" w:eastAsia="方正黑体_GBK" w:cs="宋体"/>
                <w:color w:val="auto"/>
                <w:kern w:val="0"/>
                <w:sz w:val="11"/>
                <w:szCs w:val="11"/>
              </w:rPr>
              <w:t>追责依据</w:t>
            </w:r>
          </w:p>
        </w:tc>
        <w:tc>
          <w:tcPr>
            <w:tcW w:w="697" w:type="dxa"/>
            <w:vMerge w:val="continue"/>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w:t>
            </w:r>
          </w:p>
        </w:tc>
        <w:tc>
          <w:tcPr>
            <w:tcW w:w="900" w:type="dxa"/>
            <w:vAlign w:val="center"/>
          </w:tcPr>
          <w:p>
            <w:pPr>
              <w:widowControl/>
              <w:adjustRightInd w:val="0"/>
              <w:snapToGrid w:val="0"/>
              <w:spacing w:line="137"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设区市</w:t>
            </w:r>
          </w:p>
        </w:tc>
        <w:tc>
          <w:tcPr>
            <w:tcW w:w="724" w:type="dxa"/>
            <w:vAlign w:val="center"/>
          </w:tcPr>
          <w:p>
            <w:pPr>
              <w:widowControl/>
              <w:adjustRightInd w:val="0"/>
              <w:snapToGrid w:val="0"/>
              <w:spacing w:line="137"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行政许可</w:t>
            </w:r>
          </w:p>
        </w:tc>
        <w:tc>
          <w:tcPr>
            <w:tcW w:w="1066" w:type="dxa"/>
            <w:vAlign w:val="center"/>
          </w:tcPr>
          <w:p>
            <w:pPr>
              <w:widowControl/>
              <w:adjustRightInd w:val="0"/>
              <w:snapToGrid w:val="0"/>
              <w:spacing w:line="137"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企业、事业单位、社会团体等投资建设的固定资产投资项目核准（技术改造类）</w:t>
            </w:r>
          </w:p>
        </w:tc>
        <w:tc>
          <w:tcPr>
            <w:tcW w:w="1335" w:type="dxa"/>
            <w:vAlign w:val="center"/>
          </w:tcPr>
          <w:p>
            <w:pPr>
              <w:widowControl/>
              <w:adjustRightInd w:val="0"/>
              <w:snapToGrid w:val="0"/>
              <w:spacing w:line="137"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37"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国务院对确需保留的行政审批项目设定行政许可的决定》（2004年6月29日国务院令第412号，2016年8月25日予以修改）备注1鉴于投资体制改革正在进行，涉及固定资产投资项目的行政许可仍按国务院现行规定办理。</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2.《企业投资项目核准和备案管理条例》（国务院令第673号，2016年12月14日发布，自2017年2月1日起施行）第三条 对关系国家安全、涉及全国重大生产力布局、战略性资源开发和重大公共利益等项目，实行核准管理。具体项目范围以及核准机关、核准权限依照政府核准的投资项目目录执行。第四条　除涉及国家秘密的项目外，项目核准、备案通过国家建立的项目在线监管平台（以下简称在线平台）办理。第二十二条 事业单位、社会团体等非企业组织在中国境内投资建设的固定资产投资项目适用本条例，但通过预算安排的固定资产投资项目除外。</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3.《国务院关于投资体制改革的决定》（国发〔2004〕20号，2004 年7月16日发布）第二条第一款二、转变政府管理职能，确立企业的投资主体地位（一）改革项目审批制度，落实企业投资自主权。……对于企业不使用政府投资建设的项目，一律不再实行审批制，区别不同情况实行核准制和备案制。其中，政府仅对重大项目和限制类项目从维护社会公共利益角度进行核准，其他项目无论规模大小，均改为备案制。</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4.《国务院关于发布政府核准的投资项目目录（2016年本）的通知》（国发〔2016〕72号，2016年12月12日发布，自发布之日起执行）第一条 企业投资建设本目录内的固定资产投资项目，须按照规定报送有关项目核准机关核准。企业投资建设本目录外的项目，实行备案管理。事业单位、社会团体等投资建设的项目，按照本目录执行。</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5.《政府核准的投资项目目录》（广西壮族自治区2017年本，桂政发（2017）17号，2017年3月24日发布，自印发之日起执行）第一条 政府投资主管部门包括发展改革部门和工业和信息化部门，企业投资建设本目录内的固定资产投资项目，属于基本建设的，由发展改革部门核准；属于技术改造的，由工业和信息化部门核准。</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6.《广西壮族自治区人民政府办公厅关于印发广西投资项目在线并联审批监管平台运行管理暂行办法的通知》（桂政办发〔2017〕6号，2017年1月6日发布，自发布之日起施行）第三条 在线平台适用于我区实行审批制的政府投资项目、核准制或备案制的企业投资项目。</w:t>
            </w:r>
          </w:p>
        </w:tc>
        <w:tc>
          <w:tcPr>
            <w:tcW w:w="1499" w:type="dxa"/>
            <w:vAlign w:val="center"/>
          </w:tcPr>
          <w:p>
            <w:pPr>
              <w:widowControl/>
              <w:adjustRightInd w:val="0"/>
              <w:snapToGrid w:val="0"/>
              <w:spacing w:line="137"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柳州</w:t>
            </w:r>
            <w:r>
              <w:rPr>
                <w:rFonts w:hint="eastAsia" w:ascii="方正书宋_GBK" w:hAnsi="宋体" w:eastAsia="方正书宋_GBK" w:cs="宋体"/>
                <w:color w:val="auto"/>
                <w:kern w:val="0"/>
                <w:sz w:val="11"/>
                <w:szCs w:val="11"/>
              </w:rPr>
              <w:t>市工业和信息化部门</w:t>
            </w:r>
          </w:p>
        </w:tc>
        <w:tc>
          <w:tcPr>
            <w:tcW w:w="2287" w:type="dxa"/>
            <w:vAlign w:val="center"/>
          </w:tcPr>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受理责任：公示依法应当提交的材料；申报材料不齐全或者不符合有关要求的，项目核准机关应当在收到申报材料后5个工作日内一次告知项目单位补正。项目核准机关受理或者不予受理申报材料，都应当出具加盖本机关专用印章并注</w:t>
            </w:r>
            <w:bookmarkStart w:id="0" w:name="_GoBack"/>
            <w:bookmarkEnd w:id="0"/>
            <w:r>
              <w:rPr>
                <w:rFonts w:hint="eastAsia" w:ascii="方正书宋_GBK" w:hAnsi="宋体" w:eastAsia="方正书宋_GBK" w:cs="宋体"/>
                <w:color w:val="auto"/>
                <w:kern w:val="0"/>
                <w:sz w:val="11"/>
                <w:szCs w:val="11"/>
              </w:rPr>
              <w:t>明日期的书面凭证。</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审查责任：审查申请材料，提出审查意见。对于涉及有关行业主管部门职能的项目，商请有关行业主管部门出具书面审查意见。对需要进行评估论证的重点问题委托有资质的咨询机构进行评估论证，对于可能会对公共利益造成重大影响的项目，应采取适当方式征求公众意见。对于特别重大的项目，可以实行专家评议制度。</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3.决定责任：10个工作日内作出行政许可或者不予行政许可决定，法定告知（不予许可的应当书面告知理由）；按时办结 。</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4.送达责任：及时制发决定文件，通知申请人领取；信息公开。</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5.监管责任：加强项目核准工作的监督管理，建立实施监督检查的运行机制和管理制度，开展定期和不定期检查，依法采取相应处置措施。</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6.其他法律法规规章文件规定应履行的责任。</w:t>
            </w:r>
          </w:p>
        </w:tc>
        <w:tc>
          <w:tcPr>
            <w:tcW w:w="4652" w:type="dxa"/>
            <w:vAlign w:val="center"/>
          </w:tcPr>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中华人民共和国行政许可法》（2003年8月27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    </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1-2.【法律】《中华人民共和国行政许可法》（2003年8月27日第十届全国人民代表大会常务委员会第四次会议通过）第三十二条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2.【法律】《中华人民共和国行政许可法》（2003年8月27日第十届全国人民代表大会常务委员会第四次会议通过）第三十四条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3.【法律】《中华人民共和国行政许可法》（2003年8月27日第十届全国人民代表大会常务委员会第四次会议通过）第三十八条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法律】《中华人民共和国行政许可法》（2003年8月27日第十届全国人民代表大会常务委员会第四次会议通过）第四十四条：行政机关作出准予行政许可的决定，应当自作出决定之日起十日内向申请人颁发、送达行政许可证件，或者加贴标签、加盖检验、检测、检疫印章。 </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5.【法律】《中华人民共和国行政许可法》（2003年8月27日第十届全国人民代表大会常务委员会第四次会议通过）第六十一条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23" w:type="dxa"/>
            <w:vAlign w:val="center"/>
          </w:tcPr>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的责任：1.对符合法定条件的企业不使用政府性资金投资建设的重大和限制类项目不予受理、许可的；2.对不符合有关法律法规的企业不使用政府性资金投资建设的重大和限制类项目而予以审核同意的；3.未严格审查申报材料，造成纠纷或重大损失的；4.擅自增设、变更审查程序或核准条件的；5.监管不力或怠于履行职责的；6.在监管中滥用职权、玩忽职守、徇私舞弊，造成较大损失的；7.其他违反法律法规规定的行为。</w:t>
            </w:r>
          </w:p>
        </w:tc>
        <w:tc>
          <w:tcPr>
            <w:tcW w:w="2744" w:type="dxa"/>
            <w:vAlign w:val="center"/>
          </w:tcPr>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 </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  </w:t>
            </w:r>
          </w:p>
          <w:p>
            <w:pPr>
              <w:widowControl/>
              <w:adjustRightInd w:val="0"/>
              <w:snapToGrid w:val="0"/>
              <w:spacing w:line="137"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4.《公务员法》第一百零四条 公务员主管部门的工作人员，违反本法规定，滥用职权、玩忽职守、徇私舞弊，构成犯罪的，依法追究刑事责任；尚不构成犯罪的，给予处分。</w:t>
            </w:r>
          </w:p>
        </w:tc>
        <w:tc>
          <w:tcPr>
            <w:tcW w:w="697" w:type="dxa"/>
            <w:vAlign w:val="center"/>
          </w:tcPr>
          <w:p>
            <w:pPr>
              <w:rPr>
                <w:rFonts w:hint="eastAsia" w:eastAsia="宋体"/>
                <w:color w:val="auto"/>
                <w:vertAlign w:val="baseline"/>
                <w:lang w:eastAsia="zh-CN"/>
              </w:rPr>
            </w:pPr>
            <w:r>
              <w:rPr>
                <w:rFonts w:hint="eastAsia"/>
                <w:color w:val="auto"/>
                <w:vertAlign w:val="baseline"/>
                <w:lang w:eastAsia="zh-CN"/>
              </w:rPr>
              <w:t>该项权利由上级下放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7" w:hRule="atLeast"/>
        </w:trPr>
        <w:tc>
          <w:tcPr>
            <w:tcW w:w="465" w:type="dxa"/>
            <w:vAlign w:val="center"/>
          </w:tcPr>
          <w:p>
            <w:pPr>
              <w:jc w:val="center"/>
              <w:rPr>
                <w:rFonts w:hint="eastAsia" w:eastAsia="宋体"/>
                <w:color w:val="auto"/>
                <w:vertAlign w:val="baseline"/>
                <w:lang w:val="en-US" w:eastAsia="zh-CN"/>
              </w:rPr>
            </w:pPr>
            <w:r>
              <w:rPr>
                <w:rFonts w:hint="eastAsia"/>
                <w:color w:val="auto"/>
                <w:vertAlign w:val="baseline"/>
                <w:lang w:val="en-US" w:eastAsia="zh-CN"/>
              </w:rPr>
              <w:t>2</w:t>
            </w:r>
          </w:p>
        </w:tc>
        <w:tc>
          <w:tcPr>
            <w:tcW w:w="900" w:type="dxa"/>
            <w:vAlign w:val="center"/>
          </w:tcPr>
          <w:p>
            <w:pPr>
              <w:widowControl/>
              <w:adjustRightInd w:val="0"/>
              <w:snapToGrid w:val="0"/>
              <w:spacing w:line="138"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38"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行政许可</w:t>
            </w:r>
          </w:p>
        </w:tc>
        <w:tc>
          <w:tcPr>
            <w:tcW w:w="1066" w:type="dxa"/>
            <w:vAlign w:val="center"/>
          </w:tcPr>
          <w:p>
            <w:pPr>
              <w:widowControl/>
              <w:adjustRightInd w:val="0"/>
              <w:snapToGrid w:val="0"/>
              <w:spacing w:line="138"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技术改造类固定资产投资项目节能评估和审查</w:t>
            </w:r>
          </w:p>
        </w:tc>
        <w:tc>
          <w:tcPr>
            <w:tcW w:w="1335" w:type="dxa"/>
            <w:vAlign w:val="center"/>
          </w:tcPr>
          <w:p>
            <w:pPr>
              <w:widowControl/>
              <w:adjustRightInd w:val="0"/>
              <w:snapToGrid w:val="0"/>
              <w:spacing w:line="138"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38"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中华人民共和国节约能源法》（2016年7月2日第十二届全国人民代表大会常务委员会第二十一次会议通过的《全国人民代表大会常务委员会关于修改〈中华人民共和国节约能源法〉等六部法律的决定》修改，自2008年4月1日施行）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2.《国务院关于加强节能工作的决定》（国发〔2006〕28号，2006年8月6日发布实施）第二十三条 建立固定资产投资项目节能评估和审查制度。有关部门和地方人民政府要对固定资产投资项目（含新建、改建、扩建项目）进行节能评估和审查。对未进行节能审查或未能通过节能审查的项目一律不得审批、核准，从源头杜绝能源的浪费。对擅自批准项目建设的，要依法依规追究直接责任人的责任。发展改革委要会同有关部门制定固定资产投资项目节能评估和审查的具体办法。</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3.《固定资产投资项目节能审查办法》（2016年11月27日中华人民共和国国家发展和改革委员会令第44号，自2017年1月1日起施行）第三条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4.《广西壮族自治区固定资产投资项目节能审查实施办法》（2017年5月18日广西壮族自治区发展和改革委员会和广西壮族自治区工业和信息化委员会联合发布，自2017年6月1日起实施，原《广西壮族自治区固定资产投资项目节能评估和审查暂行办法》（桂发改环资〔2011〕949号）同时废止）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获通过的固定资产投资项目，建设单位不得开工建设，已经建成的不得投入生产、使用。</w:t>
            </w:r>
          </w:p>
        </w:tc>
        <w:tc>
          <w:tcPr>
            <w:tcW w:w="1499" w:type="dxa"/>
            <w:vAlign w:val="center"/>
          </w:tcPr>
          <w:p>
            <w:pPr>
              <w:widowControl/>
              <w:adjustRightInd w:val="0"/>
              <w:snapToGrid w:val="0"/>
              <w:spacing w:line="138"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受理责任：公示依法应当提交的材料；对申请材料齐全，符合法定形式的，应当出具受理凭证；不予受理的，应当出具不予受理凭证并载明理由；申请材料不齐全或者不符合法定形式的，应当当场一次告知申请人需要补正的全部内容。</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2.审查责任：自受理申请之日起14日内对申请材料进行审查，对认为需要组织专家对申请项目进行评审（或现场检查）的，应当书面告知申请人，专家评审（或现场检查）所需时间不计算在许可期限内。</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3.决定责任：对符合条件的项目节能报告的作出批复决定；不予许可的，书面告知申请人，并说明理由。</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4.送达责任：准予行政许可的，制发批复文件，送达申请人并信息公开。</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5.监管责任：开展定期和不定期检查，依法采取停止生产、使用，限期改造等相关处置措施。</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6.其他法律法规规章文件规定应履行的责任。</w:t>
            </w:r>
          </w:p>
        </w:tc>
        <w:tc>
          <w:tcPr>
            <w:tcW w:w="4652" w:type="dxa"/>
            <w:vAlign w:val="center"/>
          </w:tcPr>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中华人民共和国行政许可法》（2003年8月27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    </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1-2.【法律】《中华人民共和国行政许可法》（2003年8月27日第十届全国人民代表大会常务委员会第四次会议通过）第三十二条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2.【法律】《中华人民共和国行政许可法》（2003年8月27日第十届全国人民代表大会常务委员会第四次会议通过）第三十四条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3.【法律】《中华人民共和国行政许可法》（2003年8月27日第十届全国人民代表大会常务委员会第四次会议通过）第三十八条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法律】《中华人民共和国行政许可法》（2003年8月27日第十届全国人民代表大会常务委员会第四次会议通过）第四十四条：行政机关作出准予行政许可的决定，应当自作出决定之日起十日内向申请人颁发、送达行政许可证件，或者加贴标签、加盖检验、检测、检疫印章。 </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5.【法律】《中华人民共和国行政许可法》（2003年8月27日第十届全国人民代表大会常务委员会第四次会议通过）第六十一条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23" w:type="dxa"/>
            <w:vAlign w:val="center"/>
          </w:tcPr>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因不履行或不正确履行行政职责，有下列情形的行政机关及相关工作人员应承担相应的责任：</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1.对符合法定条件的固定资产投资项目节能审查申请不予受理、许可的；</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2.对不符合有关法律法规的固定资产投资项目节能审查而予以审核同意的；</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3.未严格审查申报材料，造成纠纷或财产损失的；</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4.监管不力或怠于履行职责的；</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5.擅自增设、变更涉及固定资产投资项目节能审查的审查程序或核准条件的；</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6.在固定资产投资项目节能审查监管中滥用职权、玩忽职守、徇私舞弊，造成较大影响的；</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7.其他违反法律法规规定的行为。</w:t>
            </w:r>
          </w:p>
        </w:tc>
        <w:tc>
          <w:tcPr>
            <w:tcW w:w="2744" w:type="dxa"/>
            <w:vAlign w:val="center"/>
          </w:tcPr>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 </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   </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4.《公务员法》第一百零四条 公务员主管部门的工作人员，违反本法规定，滥用职权、玩忽职守、徇私舞弊，构成犯罪的，依法追究刑事责任；尚不构成犯罪的，给予处分。</w:t>
            </w:r>
          </w:p>
          <w:p>
            <w:pPr>
              <w:widowControl/>
              <w:adjustRightInd w:val="0"/>
              <w:snapToGrid w:val="0"/>
              <w:spacing w:line="138"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jc w:val="center"/>
              <w:rPr>
                <w:rFonts w:hint="eastAsia" w:eastAsia="宋体"/>
                <w:color w:val="auto"/>
                <w:vertAlign w:val="baseline"/>
                <w:lang w:val="en-US" w:eastAsia="zh-CN"/>
              </w:rPr>
            </w:pPr>
            <w:r>
              <w:rPr>
                <w:rFonts w:hint="eastAsia"/>
                <w:color w:val="auto"/>
                <w:vertAlign w:val="baseline"/>
                <w:lang w:val="en-US" w:eastAsia="zh-CN"/>
              </w:rPr>
              <w:t>3</w:t>
            </w:r>
          </w:p>
        </w:tc>
        <w:tc>
          <w:tcPr>
            <w:tcW w:w="900" w:type="dxa"/>
            <w:vAlign w:val="center"/>
          </w:tcPr>
          <w:p>
            <w:pPr>
              <w:widowControl/>
              <w:adjustRightInd w:val="0"/>
              <w:snapToGrid w:val="0"/>
              <w:spacing w:line="136"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36"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行政许可</w:t>
            </w:r>
          </w:p>
        </w:tc>
        <w:tc>
          <w:tcPr>
            <w:tcW w:w="1066" w:type="dxa"/>
            <w:vAlign w:val="center"/>
          </w:tcPr>
          <w:p>
            <w:pPr>
              <w:widowControl/>
              <w:adjustRightInd w:val="0"/>
              <w:snapToGrid w:val="0"/>
              <w:spacing w:line="136"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民用爆炸物品安全生产许可</w:t>
            </w:r>
          </w:p>
        </w:tc>
        <w:tc>
          <w:tcPr>
            <w:tcW w:w="1335" w:type="dxa"/>
            <w:vAlign w:val="center"/>
          </w:tcPr>
          <w:p>
            <w:pPr>
              <w:widowControl/>
              <w:adjustRightInd w:val="0"/>
              <w:snapToGrid w:val="0"/>
              <w:spacing w:line="136"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民用爆炸物品安全生产许可证企业名称、注册地址、法定代表人、登记类型的变更初审转报</w:t>
            </w:r>
          </w:p>
        </w:tc>
        <w:tc>
          <w:tcPr>
            <w:tcW w:w="554" w:type="dxa"/>
            <w:vAlign w:val="center"/>
          </w:tcPr>
          <w:p>
            <w:pPr>
              <w:widowControl/>
              <w:adjustRightInd w:val="0"/>
              <w:snapToGrid w:val="0"/>
              <w:spacing w:line="136"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1.《民用爆炸物品安全管理条例》（2006年5月10日国务院令第466号发布，自2006年9月1日起施行，2014年7月29日国务院令第653号修改）第三条 国家对民用爆炸物品的生产、销售、购买、运输和爆破作业实行许可证制度。未经许可，任何单位或者个人不得生产、销售、购买、运输民用爆炸物品，不得从事爆破作业。严禁转让、出借、转借、抵押、赠送、私藏或者非法持有民用爆炸物品。</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第十三条　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2.《民用爆炸物品安全生产许可实施办法》（2015年5月19日工业和信息化部令第30号发布，自2015年6月30日起施行）第十三条 《民用爆炸物品安全生产许可证》有效期内，企业名称、注册地址、法定代表人、登记类型发生变更的，企业应当自《民用爆炸物品生产许可证》变更之日起20日内向省级民爆行业主管部门提出《民用爆炸物品安全生产许可证》变更申请，省级民爆行业主管部门应当在10日内完成变更手续，并将结果告知初审机关。</w:t>
            </w:r>
          </w:p>
        </w:tc>
        <w:tc>
          <w:tcPr>
            <w:tcW w:w="1499" w:type="dxa"/>
            <w:vAlign w:val="center"/>
          </w:tcPr>
          <w:p>
            <w:pPr>
              <w:widowControl/>
              <w:adjustRightInd w:val="0"/>
              <w:snapToGrid w:val="0"/>
              <w:spacing w:line="136"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1.受理责任：公示应当提交的材料，当场一次性告知补正材料，依法受理或不予受理（不予受理应当告知理由）。</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2.审查责任：审查申请材料。</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3.决定责任：作出初审意见决定，法定告知（不予同意的应当书面告知理由）。</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4.送达责任：准予同意的，将初审意见和申请人全部材料报送上级行政机关；不予同意的，送达不予同意决定书。</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5.监管责任：建立实施监督检查的运行机制和管理制度，开展定期和不定期检查，依法采取相关处置措施。</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6.其他法律法规规章文件规定应履行的责任。</w:t>
            </w:r>
          </w:p>
        </w:tc>
        <w:tc>
          <w:tcPr>
            <w:tcW w:w="4652" w:type="dxa"/>
            <w:vAlign w:val="center"/>
          </w:tcPr>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中华人民共和国行政许可法》（2003年8月27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1-2.【法律】《中华人民共和国行政许可法》（2003年8月27日第十届全国人民代表大会常务委员会第四次会议通过）第三十二条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2.【法律】《中华人民共和国行政许可法》（2003年8月27日第十届全国人民代表大会常务委员会第四次会议通过）第三十四条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3.【法律】《中华人民共和国行政许可法》（2003年8月27日第十届全国人民代表大会常务委员会第四次会议通过）第三十八条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法律】《中华人民共和国行政许可法》（2003年8月27日第十届全国人民代表大会常务委员会第四次会议通过）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5.【法律】《中华人民共和国行政许可法》（2003年8月27日第十届全国人民代表大会常务委员会第四次会议通过）第六十一条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23" w:type="dxa"/>
            <w:vAlign w:val="center"/>
          </w:tcPr>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因不履行或不正确履行行政职责，有下列情形的行政机关及相关工作人员应承担相应的责任：</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1.对符合法定条件的申请不予受理、审查的；</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2.对不符合有关法律法规的，予以审查审核同意的；</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3.未严格审查申报材料，造成纠纷或财产损失的；</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4.监管不力或怠于履行职责的；</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5.擅自增设、变更审查程序或核准条件的；</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6.在审查监管中滥用职权、玩忽职守、徇私舞弊，造成较大影响的；</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7.其他违反法律法规规定的行为。</w:t>
            </w:r>
          </w:p>
        </w:tc>
        <w:tc>
          <w:tcPr>
            <w:tcW w:w="2744" w:type="dxa"/>
            <w:vAlign w:val="center"/>
          </w:tcPr>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 </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4.【法律】《公务员法》第一百零四条 公务员主管部门的工作人员，违反本法规定，滥用职权、玩忽职守、徇私舞弊，构成犯罪的，依法追究刑事责任；尚不构成犯罪的，给予处分。</w:t>
            </w:r>
          </w:p>
          <w:p>
            <w:pPr>
              <w:widowControl/>
              <w:adjustRightInd w:val="0"/>
              <w:snapToGrid w:val="0"/>
              <w:spacing w:line="136"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0" w:hRule="atLeast"/>
        </w:trPr>
        <w:tc>
          <w:tcPr>
            <w:tcW w:w="465" w:type="dxa"/>
            <w:vAlign w:val="center"/>
          </w:tcPr>
          <w:p>
            <w:pPr>
              <w:jc w:val="center"/>
              <w:rPr>
                <w:rFonts w:hint="eastAsia" w:eastAsia="宋体"/>
                <w:color w:val="auto"/>
                <w:vertAlign w:val="baseline"/>
                <w:lang w:val="en-US" w:eastAsia="zh-CN"/>
              </w:rPr>
            </w:pPr>
            <w:r>
              <w:rPr>
                <w:rFonts w:hint="eastAsia"/>
                <w:color w:val="auto"/>
                <w:vertAlign w:val="baseline"/>
                <w:lang w:val="en-US" w:eastAsia="zh-CN"/>
              </w:rPr>
              <w:t>4</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其他行政权力</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民用爆炸物品安全生产许可证年检</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民用爆炸物品安全生产许可证年检初审转报</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1.《民用爆炸物品安全管理条例》（2006年5月10日国务院令第466号发布，自2006年9月1日起施行，2014年7月29日国务院令第653号修改）第三条 国家对民用爆炸物品的生产、销售、购买、运输和爆破作业实行许可证制度。未经许可，任何单位或者个人不得生产、销售、购买、运输民用爆炸物品，不得从事爆破作业。严禁转让、出借、转借、抵押、赠送、私藏或者非法持有民用爆炸物品。</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2.《民用爆炸物品安全生产许可实施办法》（2015年5月19日工业和信息化部令第30号发布，自2015年6月30日起施行）第三条 工业和信息化部负责指导、监督全国民用爆炸物品生产企业安全生产许可的审批和管理工作。省、自治区、直辖市人民政府民用爆炸物品行业主管部门（以下简称省级民爆行业主管部门）负责民用爆炸物品生产企业安全生产许可的审批和监督管理。设区的市和县级人民政府民用爆炸物品行业主管部门在各自职责范围内依法对民用爆炸物品安全生产工作实施监督管理。设区的市和县级人民政府民用爆炸物品行业主管部门在各自职责范围内依法对民用爆炸物品安全生产工作实施监督管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为方便申请人，省级民爆行业主管部门可委托设区的市或者县级人民政府民用爆炸物品行业主管部门（以下简称初审机关）承担本行政区内民用爆炸物品生产企业安全生产许可申请的受理、初审工作。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第十四条 《民用爆炸物品安全生产许可证》实行年检制度。民用爆炸物品生产企业应当于每年3月向省级民爆行业主管部门或者初审机关报送下列材料：</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（一）《民用爆炸物品安全生产许可证年检表》（由工业和信息化部提供范本）；</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（二）落实安全生产管理责任和安全隐患整改情况；</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（三）安全生产费用提留和使用、主要负责人和安全管理人员培训、实际生产量与销售情况；</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（四）省级民爆行业主管部门要求报送的其他材料。初审机关应当在5日内完成初审工作并将相关材料报送省级民爆行业主管部门。</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1.受理责任：公示应当提交的材料，当场一次性告知补正材料，依法受理或不予受理（不予受理应当告知理由）。</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2.审查责任：审查申请材料。</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3.决定责任：作出初审意见决定，法定告知（不予同意的应当书面告知理由）。</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4.送达责任：准予同意的，将初审意见和申请人全部材料报送上级行政机关；不予同意的，送达不予同意决定书。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5.监管责任：建立实施监督检查的运行机制和管理制度，开展定期和不定期检查，依法采取相关处置措施。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6.其他法律法规规章文件规定应履行的责任。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中华人民共和国行政许可法》（2003年8月27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1-2.【法律】《中华人民共和国行政许可法》（2003年8月27日第十届全国人民代表大会常务委员会第四次会议通过）第三十二条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2.【法律】《中华人民共和国行政许可法》（2003年8月27日第十届全国人民代表大会常务委员会第四次会议通过）第三十四条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3.【法律】《中华人民共和国行政许可法》（2003年8月27日第十届全国人民代表大会常务委员会第四次会议通过）第三十八条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法律】《中华人民共和国行政许可法》（2003年8月27日第十届全国人民代表大会常务委员会第四次会议通过）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5.【法律】《中华人民共和国行政许可法》（2003年8月27日第十届全国人民代表大会常务委员会第四次会议通过）第六十一条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1.对符合法定条件的申请不予受理、审查的；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2.对不符合有关法律法规的，予以审查审核同意的；3.未严格审查申报材料，造成纠纷或财产损失的；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4.监管不力或怠于履行职责的；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5.擅自增设、变更审查程序或核准条件的；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6.在审查监管中滥用职权、玩忽职守、徇私舞弊，造成较大影响的；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4.【法律】《公务员法》第一百零四条 公务员主管部门的工作人员，违反本法规定，滥用职权、玩忽职守、徇私舞弊，构成犯罪的，依法追究刑事责任；尚不构成犯罪的，给予处分。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jc w:val="center"/>
              <w:rPr>
                <w:rFonts w:hint="eastAsia" w:eastAsia="宋体"/>
                <w:color w:val="auto"/>
                <w:vertAlign w:val="baseline"/>
                <w:lang w:val="en-US" w:eastAsia="zh-CN"/>
              </w:rPr>
            </w:pPr>
            <w:r>
              <w:rPr>
                <w:rFonts w:hint="eastAsia"/>
                <w:color w:val="auto"/>
                <w:vertAlign w:val="baseline"/>
                <w:lang w:val="en-US" w:eastAsia="zh-CN"/>
              </w:rPr>
              <w:t>5</w:t>
            </w:r>
          </w:p>
        </w:tc>
        <w:tc>
          <w:tcPr>
            <w:tcW w:w="900" w:type="dxa"/>
            <w:vAlign w:val="center"/>
          </w:tcPr>
          <w:p>
            <w:pPr>
              <w:widowControl/>
              <w:adjustRightInd w:val="0"/>
              <w:snapToGrid w:val="0"/>
              <w:spacing w:line="124"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24"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行政检查</w:t>
            </w:r>
          </w:p>
        </w:tc>
        <w:tc>
          <w:tcPr>
            <w:tcW w:w="1066" w:type="dxa"/>
            <w:vAlign w:val="center"/>
          </w:tcPr>
          <w:p>
            <w:pPr>
              <w:widowControl/>
              <w:adjustRightInd w:val="0"/>
              <w:snapToGrid w:val="0"/>
              <w:spacing w:line="124"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节能监察（监测）</w:t>
            </w:r>
          </w:p>
        </w:tc>
        <w:tc>
          <w:tcPr>
            <w:tcW w:w="1335" w:type="dxa"/>
            <w:vAlign w:val="center"/>
          </w:tcPr>
          <w:p>
            <w:pPr>
              <w:widowControl/>
              <w:adjustRightInd w:val="0"/>
              <w:snapToGrid w:val="0"/>
              <w:spacing w:line="124"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24"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2016年7月2日主席令第四十八号修改，自2008年4月1日施行）第十二条 县级以上人民政府管理节能工作的部门和有关部门应当在各自的职责范围内，加强对节能法律、法规和节能标准执行情况的监督检查，依法查处违法用能行为。</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《广西壮族自治区实施〈中华人民共和国节约能源法〉办法》（2013年5月30日广西壮族自治区第十二届人民代表大会常务委员会公告第7号公布 自2013年9月1日起施行）第五条　县级以上人民政府应当将节能工作纳入国民经济和社会发展规划，加强对节能工作的领导，部署、协调、监督、检查、推动节能工作。县级以上人民政府发展和改革部门综合协调本行政区域节能监督管理工作。工业和信息化、科学技术、住房和城乡建设、交通运输、农业、林业、质量技术监督等部门以及管理机关事务的机构在各自的职责范围内负责节能技术开发、推广和节能监督管理工作。县级以上人民政府发展和改革部门、各节能监督管理部门根据职责和工作需要，可以依法委托节能监察机构具体实施日常的节能监督管理工作。</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《工业节能管理办法》（2016年4月27日，中华人民共和国工业和信息化委员会令第33号公布 自2016年6月30日起施行）第十九条 各级工业和信息化主管部门应当组织节能监察机构，对工业企业执行节能法律法规情况、强制性单位产品能耗限额及其他强制性节能标准贯彻执行情况、落后用能工艺技术设备（产品）淘汰情况、固定资产投资项目节能评估和审查意见落实情况、节能服务机构执行节能法律法规情况等开展节能监察。</w:t>
            </w:r>
          </w:p>
        </w:tc>
        <w:tc>
          <w:tcPr>
            <w:tcW w:w="1499" w:type="dxa"/>
            <w:vAlign w:val="center"/>
          </w:tcPr>
          <w:p>
            <w:pPr>
              <w:widowControl/>
              <w:adjustRightInd w:val="0"/>
              <w:snapToGrid w:val="0"/>
              <w:spacing w:line="124"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1.选案阶段责任：根据举报或上级安排以及日常管理中发现的问题确定进行检查。</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3.审查环节责任：对违法事实、证据资料、调查程序、法律适用、当事人陈述理由等进行审查，提出初步处理意见。</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4.告知环节责任：对违法事实、处理依据、处理意见告知，听取当事人陈述申辩。</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5.决定环节责任：根据违法事实以及当事人陈述意见作出处理决定，重大案件应组织集体审议。</w:t>
            </w:r>
          </w:p>
        </w:tc>
        <w:tc>
          <w:tcPr>
            <w:tcW w:w="4652"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val="en-US" w:eastAsia="zh-CN" w:bidi="ar-SA"/>
              </w:rPr>
              <w:t xml:space="preserve">1.【规章】《广西壮族自治区行政执法程序规定》（1997年11月5日自治区人民政府第8次常务会议通过）第三十条 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val="en-US" w:eastAsia="zh-CN" w:bidi="ar-SA"/>
              </w:rPr>
              <w:t>2.【规章】《广西壮族自治区行政执法程序规定》（1997年11月5日自治区人民政府第8次常务会议通过）第三十三条 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val="en-US" w:eastAsia="zh-CN" w:bidi="ar-SA"/>
              </w:rPr>
              <w:t>3.参照《行政处罚法》第四十条“行政处罚决定书应当在宣告后当场交付当事人；当事人不在场的，行政机关应当在七日内依照民事诉讼法的有关规定，将行政处罚决定书送达当事人。”</w:t>
            </w:r>
          </w:p>
        </w:tc>
        <w:tc>
          <w:tcPr>
            <w:tcW w:w="1923"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1.不履行或不正确履行职责，对节能监察没有进行合法指导和监督的。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2.在监督检查中玩忽职守、徇私舞弊的。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3.在监督检查中滥用职权，谋取不正当利益和发生腐败行为的。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4.其他违反法律法规规章文件规定的行为。</w:t>
            </w:r>
          </w:p>
        </w:tc>
        <w:tc>
          <w:tcPr>
            <w:tcW w:w="2744"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1.【法规】《行政机关公务员处分条例》（国务院令第495号）第二十条有下列行为之一的，给予记过、记大过处分；情节较重的，给予降级或者撤职处分；情节严重的，给予开除处分：（四）其他玩忽职守、贻误工作的行为。”2.同1.3.【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9" w:hRule="atLeast"/>
        </w:trPr>
        <w:tc>
          <w:tcPr>
            <w:tcW w:w="465" w:type="dxa"/>
            <w:vAlign w:val="center"/>
          </w:tcPr>
          <w:p>
            <w:pPr>
              <w:jc w:val="center"/>
              <w:rPr>
                <w:rFonts w:hint="eastAsia" w:eastAsia="宋体"/>
                <w:color w:val="auto"/>
                <w:vertAlign w:val="baseline"/>
                <w:lang w:val="en-US" w:eastAsia="zh-CN"/>
              </w:rPr>
            </w:pPr>
            <w:r>
              <w:rPr>
                <w:rFonts w:hint="eastAsia"/>
                <w:color w:val="auto"/>
                <w:vertAlign w:val="baseline"/>
                <w:lang w:val="en-US" w:eastAsia="zh-CN"/>
              </w:rPr>
              <w:t>6</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对储煤场地不符合要求或在煤炭销售各环节造成环境污染行为的处罚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《煤炭经营监管办法》（2014年7月30日国家发展和改革委员会令第13号公布，自2014年9月1日起施行）第二十七条 用于煤炭经营的储煤场地不符合合理布局要求，或在煤炭装卸、储存、加工和运输过程中未采取必要措施、造成周边环境污染的，由县级以上地方人民政府煤炭经营监督管理部门责令限期改正，逾期不改的，列入违法失信名单并向社会公示。</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1.立案责任：对在煤炭经营监督管理中发现的、社会举报的、上级煤炭经营管理监督管理机关交办的、下级煤炭经营监督管理部门报请或有关部门移送的线索予以审查，决定是否立案。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2.调查取证责任：承办人员应当及时调查取证，调查取证时应当2人以上并出示执法证件，按照法定程序、法定实体规定的要求全面、客观、公正地收集证据，听取当事人的陈述，并制作相应的法律文书。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复核审查责任：审查案件调查终结报告，必要时审查案卷材料，对事实认定、证据采信、法律适用、自由裁量、执法程序等进行审查，提出审查意见或作出决定，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的途径和期限等。</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5.决定责任：履行告知或根据陈述申辩（听证）复核情况，依法作出行政处罚决定，并制作陈述和申辩笔录、陈述和申辩复核意见书、听证笔录、听证意见书、行政处罚决定书等相关法律文书。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6.送达责任：煤炭经营监督管理处罚决定书应当在宣告后当场交付当事人并取得送达回执。当事人不在场的，应当在7日内依照民事诉讼法的有关规定，将行政处罚决定书送达当事人。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当事人自觉履行行政处罚决定的，应当核实取证后办理结案手续；当事人不自觉履行的，依法履行催告程序后，申请人民法院强制执行或依法将当事人列入违法失信名单，执行情况符合结案条件的，办理结案手续。</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1.没有依法实施行政处罚的；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2.对应当依法移交司法机关不移交的；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3.执法人员玩忽职守，利用职务上的便利，索取或者收受他人财物的；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4.其他违反法律法规规定的行为。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0" w:hRule="atLeast"/>
        </w:trPr>
        <w:tc>
          <w:tcPr>
            <w:tcW w:w="465" w:type="dxa"/>
            <w:vAlign w:val="center"/>
          </w:tcPr>
          <w:p>
            <w:pPr>
              <w:jc w:val="center"/>
              <w:rPr>
                <w:rFonts w:hint="eastAsia" w:eastAsia="宋体"/>
                <w:color w:val="auto"/>
                <w:vertAlign w:val="baseline"/>
                <w:lang w:val="en-US" w:eastAsia="zh-CN"/>
              </w:rPr>
            </w:pPr>
            <w:r>
              <w:rPr>
                <w:rFonts w:hint="eastAsia"/>
                <w:color w:val="auto"/>
                <w:vertAlign w:val="baseline"/>
                <w:lang w:val="en-US" w:eastAsia="zh-CN"/>
              </w:rPr>
              <w:t>7</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对盗窃电能的处罚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《中华人民共和国电力法》（1995年12月28日主席令第90号公布，自1996年4月1日起施行，2018年12月29日第十三届全国人民代表大会常务委员会第七次会议修正）第七十一条  盗窃电能的，由电力管理部门责令停止违法行为，追缴电费并处应交电费五倍以下的罚款；构成犯罪的，依照刑法有关规定追究刑事责任。</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1.立案责任：发现根据举报控告的违法行为或者上报移送的违法案件，及时制止并予以审查，决定是否立案。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2.调查责任：依法回避；两人以上出示执法证件；制作笔录、收集证据；允许辩解陈述；保守有关秘密。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2.执法人员玩忽职守，对应当予以制止和处罚的违法行为不予制止、处罚，致使公民、法人或社会合法权益、公共利益遭受损害的；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3.不具备行政执法资格实施行政处罚的；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4.擅自改变行政处罚种类、幅度的以及违反法定的行政处罚程序的；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5.违反“罚缴分离”规定，擅自收取罚款的以及截留、私分或者变相私分罚款的；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6.符合听证条件、行政管理相对人要求听证，应予组织听证而不组织听证的；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5" w:hRule="atLeast"/>
        </w:trPr>
        <w:tc>
          <w:tcPr>
            <w:tcW w:w="465" w:type="dxa"/>
            <w:vAlign w:val="center"/>
          </w:tcPr>
          <w:p>
            <w:pPr>
              <w:jc w:val="center"/>
              <w:rPr>
                <w:rFonts w:hint="eastAsia" w:eastAsia="宋体"/>
                <w:color w:val="auto"/>
                <w:vertAlign w:val="baseline"/>
                <w:lang w:val="en-US" w:eastAsia="zh-CN"/>
              </w:rPr>
            </w:pPr>
            <w:r>
              <w:rPr>
                <w:rFonts w:hint="eastAsia"/>
                <w:color w:val="auto"/>
                <w:vertAlign w:val="baseline"/>
                <w:lang w:val="en-US" w:eastAsia="zh-CN"/>
              </w:rPr>
              <w:t>8</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对固定资产投资项目建设单位开工建设不符合强制性节能标准的项目或者将该项目投入生产、使用的处罚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                                                                    第六十八条第二款 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1.立案阶段责任：发现根据举报控告的违法行为或者上报移送的违法案件以及涉嫌违反《中华人民共和国节约能源法》等相关规定的违法行为，及时制止并予以审查，决定是否立案。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2.调查阶段责任：指定专人负责；依法回避；两人以上出示执法证件；制作笔录、收集证据；允许辩解陈述；保守有关秘密。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3.审查阶段责任：审理案件调查报告，对案件违法事实、证据、调查取证程序、法律适用、处罚种类和幅度、当事人陈述和申辩理由等方面进行审查，提出处理意见（主要证据不足时，以适当的方式补充调查）。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4.告知阶段责任：做出行政处罚决定前，应制作《行政处罚告知书》，送达当事人，告知违法事实及其享有的陈述、申辩等权利。拟作出责令停产停业、吊销许可证或执照，当事人要求听证的，应当组织听证。</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2.擅自改变处罚幅度、范围的；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6.在行政处罚过程中发生腐败行为的或使用、损毁扣押的财物，对当事人造成损失的；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7.其他违反法律法规、规章以及规范性文件规定的行为。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5" w:hRule="atLeast"/>
        </w:trPr>
        <w:tc>
          <w:tcPr>
            <w:tcW w:w="465" w:type="dxa"/>
            <w:vAlign w:val="center"/>
          </w:tcPr>
          <w:p>
            <w:pPr>
              <w:jc w:val="center"/>
              <w:rPr>
                <w:rFonts w:hint="eastAsia" w:eastAsia="宋体"/>
                <w:color w:val="auto"/>
                <w:vertAlign w:val="baseline"/>
                <w:lang w:val="en-US" w:eastAsia="zh-CN"/>
              </w:rPr>
            </w:pPr>
            <w:r>
              <w:rPr>
                <w:rFonts w:hint="eastAsia"/>
                <w:color w:val="auto"/>
                <w:vertAlign w:val="baseline"/>
                <w:lang w:val="en-US" w:eastAsia="zh-CN"/>
              </w:rPr>
              <w:t>9</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对节能服务机构提供虚假信息的处罚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2016年7月2日主席令第四十八号修改，自2008年4月1日施行）第七十六条 从事节能咨询、设计、评估、检测、审计、认证等服务的机构提供虚假信息的，由管理节能工作的部门责令改正，没收违法所得，并处五万元以上十万元以下罚款。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1.立案阶段责任：发现根据举报控告的违法行为或者上报移送的违法案件以及涉嫌违反《中华人民共和国节约能源法》等相关规定的违法行为，及时制止并予以审查，决定是否立案。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2.调查阶段责任：指定专人负责；依法回避；两人以上出示执法证件；制作笔录、收集证据；允许辩解陈述；保守有关秘密。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3.审查阶段责任：审理案件调查报告，对案件违法事实、证据、调查取证程序、法律适用、处罚种类和幅度、当事人陈述和申辩理由等方面进行审查，提出处理意见（主要证据不足时，以适当的方式补充调查）。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做出行政处罚决定前，应制作《行政处罚告知书》，送达当事人，告知违法事实及其享有的陈述、申辩等权利。拟作出责令停产停业、吊销许可证或执照、较大数额罚款的，当事人要求听证的，应当组织听证。</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2.擅自改变处罚幅度、范围的；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6.在行政处罚过程中发生腐败行为的或使用、损毁扣押的财物，对当事人造成损失的；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7.其他违反法律法规、规章以及规范性文件规定的行为。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5"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10</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对煤炭经营企业未按规定备案、未按规定提交年度报告或未配合接受监督检查的处罚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煤炭经营监管办法》（2014年7月30日国家发展和改革委员会令第13号公布，自2014年9月1日起施行）第二十六条煤炭经营企业未按规定备案或备案内容不真实；未按规定提交年度报告或报告内容不真实；未配合煤炭经营监督管理部门接受监督检查的，由县级以上地方人民政府煤炭经营监督管理部门责令限期改正，逾期不改的，列入违法失信名单并向社会公示。</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1.立案责任：对在煤炭经营监督管理中发现的、社会举报的、上级煤炭经营管理监督管理机关交办的、下级煤炭经营监督管理部门报请或有关部门移送的线索予以审查，决定是否立案。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2.调查取证责任：承办人员应当及时调查取证，调查取证时应当2人以上并出示执法证件，按照法定程序、法定实体规定的要求全面、客观、公正地收集证据，听取当事人的陈述，并制作相应的法律文书。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复核审查责任：审查案件调查终结报告，必要时审查案卷材料，对事实认定、证据采信、法律适用、自由裁量、执法程序等进行审查，提出审查意见或作出决定，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的途径和期限等。</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5.决定责任：履行告知或根据陈述申辩（听证）复核情况，依法作出行政处罚决定，并制作陈述和申辩笔录、陈述和申辩复核意见书、听证笔录、听证意见书、行政处罚决定书等相关法律文书。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6.送达责任：煤炭经营监督管理处罚决定书应当在宣告后当场交付当事人并取得送达回执。当事人不在场的，应当在7日内依照民事诉讼法的有关规定，将行政处罚决定书送达当事人。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当事人自觉履行行政处罚决定的，应当核实取证后办理结案手续；当事人不自觉履行的，依法履行催告程序后，申请人民法院强制执行或依法将当事人列入违法失信名单，执行情况符合结案条件的，办理结案手续。</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行政处罚法》（1996年中华人民共和国主席令第63号公布，2017年9月1日中华人民共和国主席令第七十六号修改后公布，自2018年1月1日起试行）第十五条“行政处罚由具有行政处罚权的行政机关在法定职权范围内实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1.没有依法实施行政处罚的；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2.对应当依法移交司法机关不移交的；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3.执法人员玩忽职守，利用职务上的便利，索取或者收受他人财物的；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4.其他违反法律法规规定的行为。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11</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对煤炭经营中采取掺杂使假、以次充好等欺诈手段开展经营行为的处罚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《煤炭经营监管办法》（2014年7月30日国家发展和改革委员会令第13号公布，自2014年9月1日起施行）第二十九条 采取掺杂使假、以次充好等欺诈手段进行经营的，由县级以上地方人民政府煤炭经营监督管理部门责令停止经营，没收违法所得，并处违法所得一倍以上五倍以下的罚款，列入违法失信名单并向社会公示。</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1.立案责任：对在煤炭经营监督管理中发现的、社会举报的、上级煤炭经营管理监督管理机关交办的、下级煤炭经营监督管理部门报请或有关部门移送的线索予以审查，决定是否立案。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2.调查取证责任：承办人员应当及时调查取证，调查取证时应当2人以上并出示执法证件，按照法定程序、法定实体规定的要求全面、客观、公正地收集证据，听取当事人的陈述，并制作相应的法律文书。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复核审查责任：审查案件调查终结报告，必要时审查案卷材料，对事实认定、证据采信、法律适用、自由裁量、执法程序等进行审查，提出审查意见或作出决定，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的途径和期限等。</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5.决定责任：履行告知或根据陈述申辩（听证）复核情况，依法作出行政处罚决定，并制作陈述和申辩笔录、陈述和申辩复核意见书、听证笔录、听证意见书、行政处罚决定书等相关法律文书。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6.送达责任：煤炭经营监督管理处罚决定书应当在宣告后当场交付当事人并取得送达回执。当事人不在场的，应当在7日内依照民事诉讼法的有关规定，将行政处罚决定书送达当事人。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当事人自觉履行行政处罚决定的，应当核实取证后办理结案手续；当事人不自觉履行的，依法履行催告程序后，申请人民法院强制执行或依法将当事人列入违法失信名单，执行情况符合结案条件的，办理结案手续。</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1.没有依法实施行政处罚的；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2.对应当依法移交司法机关不移交的；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3.执法人员玩忽职守，利用职务上的便利，索取或者收受他人财物的；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4.其他违反法律法规规定的行为。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4"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12</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对生产单位超过单位产品能耗限额标准用能的处罚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1.立案阶段责任：受案部门在对报案、控告、举报、群众扭送或者违法嫌疑人投案，以及其他行政主管部门、司法机关移送的案件，应当及时受理。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6.送达阶段责任：行政处罚决定书应依法按时送达当事人。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8.法律法规规定的其他责任。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行政处罚法》（1996年中华人民共和国主席令第63号公布，2017年9月1日中华人民共和国主席令第七十六号修改后公布，自2018年1月1日起试行）第十五条“行政处罚由具有行政处罚权的行政机关在法定职权范围内实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2.擅自改变处罚幅度、范围的；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6.在行政处罚过程中发生腐败行为的或使用、损毁扣押的财物，对当事人造成损失的；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7.其他违反法律法规、规章以及规范性文件规定的行为。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1"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13</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对使用国家明令淘汰的电力设备和技术进行电力建设项目的处罚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《中华人民共和国电力法》（1995年12月28日主席令第90号公布，自1996年4月1日起施行，2018年12月29日第十三届全国人民代表大会常务委员会第七次会议修正）第十四条  电力建设项目应当符合电力发展规划，符合国家电力产业政策。电力建设项目不得使用国家明令淘汰的电力设备和技术。</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xml:space="preserve"> 第六十二条第二款  违反本法第十四条规定，电力建设项目使用国家明令淘汰的电力设备和技术的，由电力管理部门责令停止使用，没收国家明令淘汰的电力设备，并处五万元以下的罚款。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1.立案责任：发现根据举报控告的违法行为或者上报移送的违法案件，及时制止并予以审查，决定是否立案。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2.调查责任：依法回避；两人以上出示执法证件；制作笔录、收集证据；允许辩解陈述；保守有关秘密。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行政处罚法》（1996年中华人民共和国主席令第63号公布，2017年9月1日中华人民共和国主席令第七十六号修改后公布，自2018年1月1日起试行）第十五条“行政处罚由具有行政处罚权的行政机关在法定职权范围内实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2.执法人员玩忽职守，对应当予以制止和处罚的违法行为不予制止、处罚，致使公民、法人或社会合法权益、公共利益遭受损害的；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3.不具备行政执法资格实施行政处罚的；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4.擅自改变行政处罚种类、幅度的以及违反法定的行政处罚程序的；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5.违反“罚缴分离”规定，擅自收取罚款的以及截留、私分或者变相私分罚款的；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6.符合听证条件、行政管理相对人要求听证，应予组织听证而不组织听证的；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4"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14</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对使用国家明令淘汰的用能设备或者生产工艺的处罚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1.《中华人民共和国节约能源法》（主席令第九十号，1997年11月1日发布，1998年1月1日施行， 2016年7月2日主席令第四十八号修改，自2008年4月1日施行）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xml:space="preserve">2.《中华人民共和国循环经济促进法》（2008国家主席令第4号，2008年8月29日发布，自2009年1月1日起施行）第五十条生产、销售列入淘汰名录的产品、设备的，依照《中华人民共和国产品质量法》的规定处罚。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  </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1.立案阶段责任：受案部门在对报案、控告、举报、群众扭送或者违法嫌疑人投案，以及其他行政主管部门、司法机关移送的案件，应当及时受理。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6.送达阶段责任：行政处罚决定书应依法按时送达当事人。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8.法律法规规定的其他责任。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2.擅自改变处罚幅度、范围的；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6.在行政处罚过程中发生腐败行为的或使用或者损毁扣押的财物，对当事人造成损失的；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7.其他违反法律法规和规章以及规范性文件规定的行为。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3"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15</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对危害发电设施、变电设施和电力线路设施的处罚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《电力设施保护条例》（1987年9月15日国务院发布，自1987年9月15日起施行，2011年1月8日国务院令第588号修改）第二十七条  违反本条例规定，危害发电设施、变电设施和电力线路设施的，由电力管理部门责令改正；拒不改正的，处1万元以下的罚款。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1.立案责任：发现根据举报控告的违法行为或者上报移送的违法案件，及时制止并予以审查，决定是否立案。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2.调查责任：依法回避；两人以上出示执法证件；制作笔录、收集证据；允许辩解陈述；保守有关秘密。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行政处罚法》（1996年中华人民共和国主席令第63号公布，2017年9月1日中华人民共和国主席令第七十六号修改后公布，自2018年1月1日起试行）第十五条“行政处罚由具有行政处罚权的行政机关在法定职权范围内实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2.执法人员玩忽职守，对应当予以制止和处罚的违法行为不予制止、处罚，致使公民、法人或社会合法权益、公共利益遭受损害的；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3.不具备行政执法资格实施行政处罚的；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4.擅自改变行政处罚种类、幅度的以及违反法定的行政处罚程序的；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5.违反“罚缴分离”规定，擅自收取罚款的以及截留、私分或者变相私分罚款的；</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8"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16</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对危害供电、用电安全或者扰乱供电、用电秩序的处罚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1.《中华人民共和国电力法》（1995年12月28日主席令第90号公布，自1996年4月1日起施行，2018年12月29日第十三届全国人民代表大会常务委员会第七次会议修正）第三十二条  用户用电不得危害供电、用电安全和扰乱供电、用电秩序。对危害供电、用电安全和扰乱供电、用电秩序的，供电企业有权制止。第六十五条  违反本法第三十二条规定，危害供电、用电安全或者扰乱供电、用电秩序的，由电力管理部门责令改正，给予警告；情节严重或者拒绝改正的，可以中止供电，可以并处五万元以下的罚款。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1.立案责任：发现根据举报控告的违法行为或者上报移送的违法案件，及时制止并予以审查，决定是否立案。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2.调查责任：依法回避；两人以上出示执法证件；制作笔录、收集证据；允许辩解陈述；保守有关秘密。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2.执法人员玩忽职守，对应当予以制止和处罚的违法行为不予制止、处罚，致使公民、法人或社会合法权益、公共利益遭受损害的；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3.不具备行政执法资格实施行政处罚的；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4.擅自改变行政处罚种类、幅度的以及违反法定的行政处罚程序的；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5.违反“罚缴分离”规定，擅自收取罚款的以及截留、私分或者变相私分罚款的；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6.符合听证条件、行政管理相对人要求听证，应予组织听证而不组织听证的；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6"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17</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对违法拒绝供电或中断供电的处罚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1.《中华人民共和国电力法》（1995年12月28日主席令第90号公布，自1996年4月1日起施行，2018年12月29日第十三届全国人民代表大会常务委员会第七次会议修正）第二十六条 供电营业区内的供电营业机构，对本营业区内的用户有按照国家规定供电的义务；不得违反国家规定对其营业区内申请用电的单位和个人拒绝供电。申请新装用电、临时用电、增加用电容量、变更用电和终止用电，应当依照规定的程序办理手续。供电企业应当在其营业场所公告用电的程序、制度和收费标准，并提供用户须知资料。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第二十九条 供电企业在发电、供电系统正常的情况下，应当连续向用户供电，不得中断。因供电设施检修、依法限电或者用户违法用电等原因，需要中断供电时，供电企业应当按照国家有关规定事先通知用户。用户对供电企业中断供电有异议的，可以向电力管理部门投诉；受理投诉的电力管理部门应当依法处理。第六十四条 违反本法第二十六条、第二十九条规定，拒绝供电或者中断供电的，由电力管理部门责令改正，给予警告；情节严重的，对有关主管人员和直接责任人员给予行政处分。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2.《供用电监督管理办法》（1996年5月19日电力工业部令第4号发布，自1996年9月起施行，2011年6月30日国家发展和改革委员会令第10号修改）第二十六条 供电企业未按《电力法》和国家有关规定中规定的时间通知用户或进行公告，而对用户中断供电的，电力管理部门责令其改正，给予警告；情节严重的，对有关主管人员和直接责任人员给予行政处分。</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1.立案责任：发现根据举报控告的违法行为或者上报移送的违法案件，及时制止并予以审查，决定是否立案。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2.调查责任：依法回避；两人以上出示执法证件；制作笔录、收集证据；允许辩解陈述；保守有关秘密。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2.执法人员玩忽职守，对应当予以制止和处罚的违法行为不予制止、处罚，致使公民、法人或社会合法权益、公共利益遭受损害的；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3.不具备行政执法资格实施行政处罚的；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4.擅自改变行政处罚种类、幅度的以及违反法定的行政处罚程序的；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5.违反“罚缴分离”规定，擅自收取罚款的以及截留、私分或者变相私分罚款的；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6.符合听证条件、行政管理相对人要求听证，应予组织听证而不组织听证的；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5"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18</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对未按照规定报送能源利用状况报告或者报告内容不实的处罚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2016年7月2日主席令第四十八号修改，自2008年4月1日施行）第八十二条 重点用能单位未按照本法规定报送能源利用状况报告或者报告内容不实的，由管理节能工作的部门责令限期改正；逾期不改正的，处一万元以上五万元以下罚款。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1.立案阶段责任：发现根据举报控告的违法行为或者上报移送的违法案件以及涉嫌违反《中华人民共和国节约能源法》等相关规定的违法行为，及时制止并予以审查，决定是否立案。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2.调查阶段责任：指定专人负责；依法回避；两人以上出示执法证件；制作笔录、收集证据；允许辩解陈述；保守有关秘密。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3.审查阶段责任：审理案件调查报告，对案件违法事实、证据、调查取证程序、法律适用、处罚种类和幅度、当事人陈述和申辩理由等方面进行审查，提出处理意见（主要证据不足时，以适当的方式补充调查）。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4.告知阶段责任：做出行政处罚决定前，应制作《行政处罚告知书》，送达当事人，告知违法事实及其享有的陈述、申辩等权利。拟作出较大数额罚款的，当事人要求听证的，应当组织听证。</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2.擅自改变处罚幅度、范围的；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6.在行政处罚过程中发生腐败行为的或使用、损毁扣押的财物，对当事人造成损失的；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7.其他违反法律法规、规章以及规范性文件规定的行为。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5"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19</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对未经许可从事供电或者变更供电营业区行为的处罚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1.《中华人民共和国电力法》（1995年12月28日主席令第90号公布，自1996年4月1日起施行，2018年12月29日第十三届全国人民代表大会常务委员会第七次会议修正）第二十五条 供电企业在批准的供电营业区内向用户供电。供电营业区的划分，应当考虑电网的结构和供电合理性等因素。一个供电营业区内只设立一个供电营业机构。供电营业区的设立、变更，由供电企业提出申请，电力管理部门依据职责和管理权限，会同同级有关部门审查批准后，发给《电力业务许可证》。供电营业区设立、变更的具体办法，由国务院电力管理部门制定。  第六十三条  违反本法第二十五条规定，未经许可，从事供电或者变更供电营业区的，由电力管理部门责令改正，没收违法所得，可以并处违法所得五倍以下的罚款。</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xml:space="preserve">2.《电力供应与使用条例》（1996年4月17日国务院令第196号发布，自1996年9月1日起施行，2016年2月6日国务院令第666号修改）第三十八条 违反本条例规定，有下列行为之一的，由电力管理部门责令改正，没收违法所得，可以并处违法所得5倍以下的罚款：（一）未按照规定取得《供电营业许可证》，从事电力供应业务的；（二）擅自伸入或者跨越供电营业区供电的；（三）擅自向外转供电的。 </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1.立案责任：发现根据举报控告的违法行为或者上报移送的违法案件，及时制止并予以审查，决定是否立案。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2.调查责任：依法回避；两人以上出示执法证件；制作笔录、收集证据；允许辩解陈述；保守有关秘密。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2.执法人员玩忽职守，对应当予以制止和处罚的违法行为不予制止、处罚，致使公民、法人或社会合法权益、公共利益遭受损害的；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3.不具备行政执法资格实施行政处罚的；4.擅自改变行政处罚种类、幅度的以及违反法定的行政处罚程序的；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5.违反“罚缴分离”规定，擅自收取罚款的以及截留、私分或者变相私分罚款的；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6.符合听证条件、行政管理相对人要求听证，应予组织听证而不组织听证的；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8"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20</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对无偿向本单位职工提供能源或者能源消费实行包费制的处罚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2016年7月2日主席令第四十八号修改，自2008年4月1日施行）第七十七条 违反本法规定，无偿向本单位职工提供能源或者对能源消费实行包费制的，由管理节能工作的部门责令限期改正；逾期不改正的，处五万元以上二十万元以下罚款。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1.立案阶段责任：受案部门在对报案、控告、举报、群众扭送或者违法嫌疑人投案，以及其他行政主管部门、司法机关移送的案件，应当及时受理。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6.送达阶段责任：行政处罚决定书应依法按时送达当事人。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8.法律法规规定的其他责任。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行政处罚法》（1996年中华人民共和国主席令第63号公布，2017年9月1日中华人民共和国主席令第七十六号修改后公布，自2018年1月1日起试行）第十五条“行政处罚由具有行政处罚权的行政机关在法定职权范围内实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2.擅自改变处罚幅度、范围的；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6.在行政处罚过程中发生腐败行为的或使用、损毁扣押的财物，对当事人造成损失的；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7.其他违反法律法规、规章以及规范性文件规定的行为。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5"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21</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对销售不符合标准煤炭的处罚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煤炭经营监管办法》（2014年7月30日国家发展和改革委员会令第13号公布，自2014年9月1日起施行）第二十八条销售或进口高灰分、高硫分劣质煤炭；向城市高污染燃料禁燃区等范围内单位或个人销售不符合规定标准煤炭的，由县级以上地方人民政府煤炭经营监督管理部门责令限期改正，逾期不改的，列入违法失信名单并向社会公示。</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1.立案责任：对在煤炭经营监督管理中发现的、社会举报的、上级煤炭经营管理监督管理机关交办的、下级煤炭经营监督管理部门报请或有关部门移送的线索予以审查，决定是否立案。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2.调查取证责任：承办人员应当及时调查取证，调查取证时应当2人以上并出示执法证件，按照法定程序、法定实体规定的要求全面、客观、公正地收集证据，听取当事人的陈述，并制作相应的法律文书。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复核审查责任：审查案件调查终结报告，必要时审查案卷材料，对事实认定、证据采信、法律适用、自由裁量、执法程序等进行审查，提出审查意见或作出决定，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的途径和期限等。</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5.决定责任：履行告知或根据陈述申辩（听证）复核情况，依法作出行政处罚决定，并制作陈述和申辩笔录、陈述和申辩复核意见书、听证笔录、听证意见书、行政处罚决定书等相关法律文书。</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6.送达责任：煤炭经营监督管理处罚决定书应当在宣告后当场交付当事人并取得送达回执。当事人不在场的，应当在7日内依照民事诉讼法的有关规定，将行政处罚决定书送达当事人。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当事人自觉履行行政处罚决定的，应当核实取证后办理结案手续；当事人不自觉履行的，依法履行催告程序后，申请人民法院强制执行或依法将当事人列入违法失信名单，执行情况符合结案条件的，办理结案手续。</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行政处罚法》（1996年中华人民共和国主席令第63号公布，2017年9月1日中华人民共和国主席令第七十六号修改后公布，自2018年1月1日起试行）第十五条“行政处罚由具有行政处罚权的行政机关在法定职权范围内实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1.没有依法实施行政处罚的；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2.对应当依法移交司法机关不移交的；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3.执法人员玩忽职守，利用职务上的便利，索取或者收受他人财物的；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4.其他违反法律法规规定的行为。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5"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22</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对用户改变用电类别未告知供电企业的处罚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《广西壮族自治区供电用电办法》（2008年9月25日广西壮族自治区人民政府令第42号公布 ， 自2009年1月1日起施行，2016年9月26日广西壮族自治区人民政府令第112号修改）第二十三条  违反本办法规定，用户改变用电类别未告知供电企业的，由县级以上人民政府电力管理部门责令改正，给予警告，并处5000元以上3万元以下罚款。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1.立案责任：发现根据举报控告的违法行为或者上报移送的违法案件，及时制止并予以审查，决定是否立案。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2.调查责任：依法回避；两人以上出示执法证件；制作笔录、收集证据；允许辩解陈述；保守有关秘密。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行政处罚法》（1996年中华人民共和国主席令第63号公布，2017年9月1日中华人民共和国主席令第七十六号修改后公布，自2018年1月1日起试行）第十五条“行政处罚由具有行政处罚权的行政机关在法定职权范围内实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2.执法人员玩忽职守，对应当予以制止和处罚的违法行为不予制止、处罚，致使公民、法人或社会合法权益、公共利益遭受损害的；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3.不具备行政执法资格实施行政处罚的；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4.擅自改变行政处罚种类、幅度的以及违反法定的行政处罚程序的；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5.违反“罚缴分离”规定，擅自收取罚款的以及截留、私分或者变相私分罚款的；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6.符合听证条件、行政管理相对人要求听证，应予组织听证而不组织听证的；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6"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23</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对用户用电违法违规行为的处罚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《广西壮族自治区供电用电办法》（2008年9月25日广西壮族自治区人民政府令第42号公布，自2009年1月1日起施行，2016年9月26日广西壮族自治区人民政府令第112号修改）第十九条 用户应当遵守下列规定：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（一）签订供用电合同；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（二）按照合同规定的用电类别用电；</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（三）按时交纳电费；</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（四）使用合格的配用电设施并保证其运行安全；</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（五）使用经法定的计量检定机构认可的用电计量装置；</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（六）注入电网的谐波电流以及冲击负荷、非对称负荷等对电能质量的污染不得超过国家标准；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（七）不得擅自拆封、更改、调整供电企业安装的用电计量装置；</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（八）其他法律、法规、规章的有关规定。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用户违反前款规定用电的，供电企业应当及时督促改正，可以根据违规事实和造成的后果追缴电费，并按照有关规定或者合同约定收取违约使用电费和其他费用；情节严重的，可以按照国家规定的程序停止供电。</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第二十六条  违反本办法第十九条第一款（三）、（四）、（五）、（六）项规定的，由县级以上人民政府电力管理部门责令改正，对居民用户可处1000元以下罚款；对单位用户可处3000元以上3万元以下的罚款。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1.立案责任：发现根据举报控告的违法行为或者上报移送的违法案件，及时制止并予以审查，决定是否立案。</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2.调查责任：依法回避；两人以上出示执法证件；制作笔录、收集证据；允许辩解陈述；保守有关秘密。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6.送达责任：行政处罚决定书按法律规定的方式送达当事人。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8.监管责任：对行政处罚等情况的监督检查。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9.其他法律法规规章文件规定应履行的责任。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实施行政处罚，有下列情形之一的，应承担相应的责任：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2.执法人员玩忽职守，对应当予以制止和处罚的违法行为不予制止、处罚，致使公民、法人或社会合法权益、公共利益遭受损害的；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3.不具备行政执法资格实施行政处罚的；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4.擅自改变行政处罚种类、幅度的以及违反法定的行政处罚程序的；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5.违反“罚缴分离”规定，擅自收取罚款的以及截留、私分或者变相私分罚款的；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6.符合听证条件、行政管理相对人要求听证，应予组织听证而不组织听证的；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2"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24</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对重点用能单位未按照规定设立能源管理岗位的处罚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八十四条重点用能单位未按照本法规定设立能源管理岗位，聘任能源管理负责人，并报管理节能工作的部门和有关部门备案的，由管理节能工作的部门责令改正；拒不改正的，处一万元以上三万元以下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1.立案阶段责任：受案部门在对报案、控告、举报、群众扭送或者违法嫌疑人投案，以及其他行政主管部门、司法机关移送的案件，应当及时受理。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6.送达阶段责任：行政处罚决定书应依法按时送达当事人。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8.法律法规规定的其他责任。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1.不按照法定条件或法定程序对违反节能法行为实施行政处罚的；没有法律和事实依据实施行政处罚的；2.擅自改变处罚幅度、范围的；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6.在行政处罚过程中发生腐败行为的或使用、损毁扣押的财物，对当事人造成损失的；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7.其他违反法律法规、规章以及规范性文件规定的行为。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9" w:hRule="atLeast"/>
        </w:trPr>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25</w:t>
            </w:r>
          </w:p>
        </w:tc>
        <w:tc>
          <w:tcPr>
            <w:tcW w:w="900"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40"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对重点用能单位无正当理由拒不落实整改要求或者整改没有达到要求的处罚</w:t>
            </w:r>
          </w:p>
        </w:tc>
        <w:tc>
          <w:tcPr>
            <w:tcW w:w="1335"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第八十三条重点用能单位无正当理由拒不落实本法第五十四条规定的整改要求或者整改没有达到要求的，由管理节能工作的部门处十万元以上三十万元以下罚款。</w:t>
            </w:r>
          </w:p>
        </w:tc>
        <w:tc>
          <w:tcPr>
            <w:tcW w:w="1499" w:type="dxa"/>
            <w:vAlign w:val="center"/>
          </w:tcPr>
          <w:p>
            <w:pPr>
              <w:widowControl/>
              <w:adjustRightInd w:val="0"/>
              <w:snapToGrid w:val="0"/>
              <w:spacing w:line="140"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1.立案阶段责任：受案部门在对报案、控告、举报、群众扭送或者违法嫌疑人投案，以及其他行政主管部门、司法机关移送的案件，应当及时受理。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6.送达阶段责任：行政处罚决定书应依法按时送达当事人。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8.法律法规规定的其他责任。</w:t>
            </w:r>
          </w:p>
        </w:tc>
        <w:tc>
          <w:tcPr>
            <w:tcW w:w="4652"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-1【法律】《行政处罚法》（1996年中华人民共和国主席令第63号公布，2017年9月1日中华人民共和国主席令第七十六号修改后公布，自2018年1月1日起试行）第十五条“行政处罚由具有行政处罚权的行政机关在法定职权范围内实施。”</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2.擅自改变处罚幅度、范围的；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6.在行政处罚过程中发生腐败行为的或使用或者损毁扣押的财物，对当事人造成损失的；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7.其他违反法律法规和规章以及规范性文件规定的行为。</w:t>
            </w:r>
          </w:p>
        </w:tc>
        <w:tc>
          <w:tcPr>
            <w:tcW w:w="2744" w:type="dxa"/>
            <w:vAlign w:val="center"/>
          </w:tcPr>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40"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26</w:t>
            </w:r>
          </w:p>
        </w:tc>
        <w:tc>
          <w:tcPr>
            <w:tcW w:w="900" w:type="dxa"/>
            <w:vAlign w:val="center"/>
          </w:tcPr>
          <w:p>
            <w:pPr>
              <w:widowControl/>
              <w:adjustRightInd w:val="0"/>
              <w:snapToGrid w:val="0"/>
              <w:spacing w:line="124"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县（市、区）</w:t>
            </w:r>
          </w:p>
        </w:tc>
        <w:tc>
          <w:tcPr>
            <w:tcW w:w="724" w:type="dxa"/>
            <w:vAlign w:val="center"/>
          </w:tcPr>
          <w:p>
            <w:pPr>
              <w:widowControl/>
              <w:adjustRightInd w:val="0"/>
              <w:snapToGrid w:val="0"/>
              <w:spacing w:line="124" w:lineRule="exact"/>
              <w:jc w:val="center"/>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行政处罚</w:t>
            </w:r>
          </w:p>
        </w:tc>
        <w:tc>
          <w:tcPr>
            <w:tcW w:w="1066" w:type="dxa"/>
            <w:vAlign w:val="center"/>
          </w:tcPr>
          <w:p>
            <w:pPr>
              <w:widowControl/>
              <w:adjustRightInd w:val="0"/>
              <w:snapToGrid w:val="0"/>
              <w:spacing w:line="124"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对阻碍、拒绝节能监察的行政处罚</w:t>
            </w:r>
          </w:p>
        </w:tc>
        <w:tc>
          <w:tcPr>
            <w:tcW w:w="1335" w:type="dxa"/>
            <w:vAlign w:val="center"/>
          </w:tcPr>
          <w:p>
            <w:pPr>
              <w:widowControl/>
              <w:adjustRightInd w:val="0"/>
              <w:snapToGrid w:val="0"/>
              <w:spacing w:line="124"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554" w:type="dxa"/>
            <w:vAlign w:val="center"/>
          </w:tcPr>
          <w:p>
            <w:pPr>
              <w:widowControl/>
              <w:adjustRightInd w:val="0"/>
              <w:snapToGrid w:val="0"/>
              <w:spacing w:line="124"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　</w:t>
            </w:r>
          </w:p>
        </w:tc>
        <w:tc>
          <w:tcPr>
            <w:tcW w:w="2859"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《中华人民共和国节约能源法》（主席令第九十号，1997年11月1日发布，1998年1月1日施行， 2016年7月2日主席令第四十八号修改，自2008年4月1日施行）第十二条县级以上人民政府管理节能工作的部门和有关部门应当在各自的职责范围内，加强对节能法律、法规和节能标准执行情况的监督检查，依法查处违法用能行为。《广西壮族自治区实施&lt;中华人民共和国节约能源法&gt;办法》（2013年5月30日自治区十二届人大公告第7号公布自2013年9月1日起施行）第三十四条用能单位阻碍或者拒绝接受节能监督检查的，由县级以上人民政府有关节能监督管理部门按照职权予以警告，责令限期改正；逾期不改正的，可以处五千元以上五万元以下罚款。</w:t>
            </w:r>
          </w:p>
        </w:tc>
        <w:tc>
          <w:tcPr>
            <w:tcW w:w="1499" w:type="dxa"/>
            <w:vAlign w:val="center"/>
          </w:tcPr>
          <w:p>
            <w:pPr>
              <w:widowControl/>
              <w:adjustRightInd w:val="0"/>
              <w:snapToGrid w:val="0"/>
              <w:spacing w:line="124" w:lineRule="exact"/>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lang w:eastAsia="zh-CN"/>
              </w:rPr>
              <w:t>柳南区</w:t>
            </w:r>
            <w:r>
              <w:rPr>
                <w:rFonts w:hint="eastAsia" w:ascii="方正书宋_GBK" w:hAnsi="宋体" w:eastAsia="方正书宋_GBK" w:cs="宋体"/>
                <w:color w:val="auto"/>
                <w:kern w:val="0"/>
                <w:sz w:val="11"/>
                <w:szCs w:val="11"/>
              </w:rPr>
              <w:t>工业和信息化部门</w:t>
            </w:r>
          </w:p>
        </w:tc>
        <w:tc>
          <w:tcPr>
            <w:tcW w:w="2287"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1.立案阶段责任：受案部门在对报案、控告、举报、群众扭送或者违法嫌疑人投案，以及其他行政主管部门、司法机关移送的案件，应当及时受理。</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6.送达阶段责任：行政处罚决定书应依法按时送达当事人。</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7.执行阶段责任：监督当事人在决定期限内履行义务；书面催告当事人及时履行处罚决定；依法申请人民法院强制执行。</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8.法律法规规定的其他责任。</w:t>
            </w:r>
          </w:p>
        </w:tc>
        <w:tc>
          <w:tcPr>
            <w:tcW w:w="4652"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-1【法律】《行政处罚法》（1996年中华人民共和国主席令第63号公布，2017年9月1日中华人民共和国主席令第七十六号修改后公布，自2018年1月1日起试行）第十五条“行政处罚由具有行政处罚权的行政机关在法定职权范围内实施。”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-2【法律】《行政处罚法》（1996年中华人民共和国主席令第63号公布，2017年9月1日中华人民共和国主席令第七十六号修改后公布，自2018年1月1日起试行）第二十条“行政处罚由违法行为发生地的县级以上地方人民政府具有行政处罚权的行政机关管辖。法律、行政法规另有规定的除外。”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1-3【法律】《行政处罚法》（1996年中华人民共和国主席令第63号公布，2017年9月1日中华人民共和国主席令第七十六号修改后公布，自2018年1月1日起试行）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2.【法律】《行政处罚法》（1996年中华人民共和国主席令第63号公布，2017年9月1日中华人民共和国主席令第七十六号修改后公布，自2018年1月1日起试行）第三十六条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3.【法律】《行政处罚法》（1996年中华人民共和国主席令第63号公布，2017年9月1日中华人民共和国主席令第七十六号修改后公布，自2018年1月1日起试行）第三十八条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4-1【法律】《行政处罚法》（1996年中华人民共和国主席令第63号公布，2017年9月1日中华人民共和国主席令第七十六号修改后公布，自2018年1月1日起试行）第三十一条 “行政机关在作出行政处罚决定之前，应当告知当事人作出行政处罚决定的事实、理由及依据，并告知当事人依法享有的权利。”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4-2【法律】《行政处罚法》（1996年中华人民共和国主席令第63号公布，2017年9月1日中华人民共和国主席令第七十六号修改后公布，自2018年1月1日起试行）第四十二条“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5-1【法律】《行政处罚法》（1996年中华人民共和国主席令第63号公布，2017年9月1日中华人民共和国主席令第七十六号修改后公布，自2018年1月1日起试行）第三十八条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5-2【法律】《行政处罚法》（1996年中华人民共和国主席令第63号公布，2017年9月1日中华人民共和国主席令第七十六号修改后公布，自2018年1月1日起试行）第三十二条“当事人有权进行陈述和申辩。行政机关必须充分听取当事人的意见，对当事人提出的事实、理由和证据，应当进行复核；当事人提出的事实、理由或者证据成立的，行政机关应当采纳。行政机关不得因当事人申辩而加重处罚。”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6.【法律】《行政处罚法》（1996年中华人民共和国主席令第63号公布，2017年9月1日中华人民共和国主席令第七十六号修改后公布，自2018年1月1日起试行）第四十条“行政处罚决定书应当在宣告当场交付当事人；当事人不在场的，行政机关应当在七日内依照民事诉讼法的有关规定，将行政处罚决定书送达当事人”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 xml:space="preserve">7-1【法律】《行政处罚法》（1996年中华人民共和国主席令第63号公布，2017年9月1日中华人民共和国主席令第七十六号修改后公布，自2018年1月1日起试行）第四十四条 “行政处罚决定依法作出后，当事人应当在行政处罚决定的极限内予以履行”  </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-2【法律】《行政处罚法》（1996年中华人民共和国主席令第63号公布，2017年9月1日中华人民共和国主席令第七十六号修改后公布，自2018年1月1日起试行）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23"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因不履行或不正确履行行政职责，有下列情形的，行政机关及相关工作人员应承担相应责任：</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1.不按照法定条件或法定程序对违反节能法行为实施行政处罚的；没有法律和事实依据实施行政处罚的；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2.擅自改变处罚幅度、范围的；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3.执法人员玩忽职守，对应当予以制止和处罚的违法行为不予以制止、处罚，致使公民、法人或其他组织的合法利益、公共利益和社会秩序遭受损害的；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4.徇私舞弊、包庇、纵容用能违法行为的；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5.违法对当事人进行处罚不使用罚款、没收财物单据或者使用非法定部门制发的罚款、没收财物单据的；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6.在行政处罚过程中发生腐败行为的或使用、损毁扣押的财物，对当事人造成损失的；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7.其他违反法律法规、规章以及规范性文件规定的行为。</w:t>
            </w:r>
          </w:p>
        </w:tc>
        <w:tc>
          <w:tcPr>
            <w:tcW w:w="2744" w:type="dxa"/>
            <w:vAlign w:val="center"/>
          </w:tcPr>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rPr>
            </w:pPr>
            <w:r>
              <w:rPr>
                <w:rFonts w:hint="eastAsia" w:ascii="方正书宋_GBK" w:hAnsi="宋体" w:eastAsia="方正书宋_GBK" w:cs="宋体"/>
                <w:color w:val="auto"/>
                <w:kern w:val="0"/>
                <w:sz w:val="11"/>
                <w:szCs w:val="11"/>
              </w:rPr>
              <w:t>1.【法律】《中华人民共和国行政处罚法》（1996年主席令第六十三号公布）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124" w:lineRule="exact"/>
              <w:ind w:firstLine="220" w:firstLineChars="200"/>
              <w:rPr>
                <w:rFonts w:hint="eastAsia" w:ascii="方正书宋_GBK" w:hAnsi="宋体" w:eastAsia="方正书宋_GBK" w:cs="宋体"/>
                <w:color w:val="auto"/>
                <w:kern w:val="0"/>
                <w:sz w:val="11"/>
                <w:szCs w:val="11"/>
                <w:lang w:val="en-US" w:eastAsia="zh-CN" w:bidi="ar-SA"/>
              </w:rPr>
            </w:pPr>
            <w:r>
              <w:rPr>
                <w:rFonts w:hint="eastAsia" w:ascii="方正书宋_GBK" w:hAnsi="宋体" w:eastAsia="方正书宋_GBK" w:cs="宋体"/>
                <w:color w:val="auto"/>
                <w:kern w:val="0"/>
                <w:sz w:val="11"/>
                <w:szCs w:val="11"/>
              </w:rPr>
              <w:t>2.【法律】《中华人民共和国行政处罚法》（1996年主席令第六十三号公布）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97" w:type="dxa"/>
          </w:tcPr>
          <w:p>
            <w:pPr>
              <w:rPr>
                <w:color w:val="auto"/>
                <w:vertAlign w:val="baseline"/>
              </w:rPr>
            </w:pPr>
          </w:p>
        </w:tc>
      </w:tr>
    </w:tbl>
    <w:p/>
    <w:sectPr>
      <w:pgSz w:w="23757" w:h="16783" w:orient="landscape"/>
      <w:pgMar w:top="1134"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A72DC"/>
    <w:rsid w:val="02423DE7"/>
    <w:rsid w:val="0EBD6B19"/>
    <w:rsid w:val="14271B44"/>
    <w:rsid w:val="15CA6B5C"/>
    <w:rsid w:val="198E2314"/>
    <w:rsid w:val="1C6C3248"/>
    <w:rsid w:val="1EB1095F"/>
    <w:rsid w:val="1EE242C0"/>
    <w:rsid w:val="20426748"/>
    <w:rsid w:val="20D80C85"/>
    <w:rsid w:val="22011F1E"/>
    <w:rsid w:val="27C01C01"/>
    <w:rsid w:val="2D6F5E5D"/>
    <w:rsid w:val="2EF12B5F"/>
    <w:rsid w:val="30057678"/>
    <w:rsid w:val="392D40B9"/>
    <w:rsid w:val="415B5748"/>
    <w:rsid w:val="42574498"/>
    <w:rsid w:val="5342248D"/>
    <w:rsid w:val="58F71E97"/>
    <w:rsid w:val="5ADB1709"/>
    <w:rsid w:val="5B6F46A2"/>
    <w:rsid w:val="6A452E22"/>
    <w:rsid w:val="6AC14E4E"/>
    <w:rsid w:val="6E5C0CAB"/>
    <w:rsid w:val="71A03601"/>
    <w:rsid w:val="72403CA4"/>
    <w:rsid w:val="78D63289"/>
    <w:rsid w:val="7EBC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Wood  White丶</cp:lastModifiedBy>
  <dcterms:modified xsi:type="dcterms:W3CDTF">2020-05-20T09:31:40Z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