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A1125">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柳南区市场监督管理局</w:t>
      </w:r>
      <w:bookmarkEnd w:id="0"/>
    </w:p>
    <w:p w14:paraId="6F3CD1F8">
      <w:pPr>
        <w:pStyle w:val="2"/>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14:paraId="3C12CE26">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柳南市监处罚〔2024〕414号</w:t>
      </w:r>
      <w:bookmarkEnd w:id="2"/>
    </w:p>
    <w:p w14:paraId="2BEC08EC">
      <w:pPr>
        <w:spacing w:before="315" w:beforeLines="100" w:line="540" w:lineRule="exact"/>
        <w:ind w:left="142" w:hanging="142"/>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柳州市柳南区何凤兰烤鸭店</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0E80B2A4">
      <w:pPr>
        <w:spacing w:line="540" w:lineRule="exact"/>
        <w:ind w:left="140" w:hanging="140"/>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14:paraId="396F99FE">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92450200MA5M98BL91</w:t>
      </w:r>
      <w:bookmarkEnd w:id="5"/>
      <w:r>
        <w:rPr>
          <w:rFonts w:hint="eastAsia" w:ascii="Times New Roman" w:hAnsi="Times New Roman" w:eastAsia="仿宋_GB2312" w:cs="Mongolian Baiti"/>
          <w:b w:val="0"/>
          <w:bCs/>
          <w:color w:val="000000"/>
          <w:kern w:val="1"/>
          <w:sz w:val="32"/>
          <w:szCs w:val="32"/>
          <w:u w:val="none"/>
        </w:rPr>
        <w:t xml:space="preserve">                                  </w:t>
      </w:r>
    </w:p>
    <w:p w14:paraId="310C7776">
      <w:pPr>
        <w:spacing w:line="540" w:lineRule="exact"/>
        <w:ind w:left="140" w:hanging="140"/>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highlight w:val="black"/>
          <w:u w:val="none"/>
        </w:rPr>
        <w:t>柳州市柳南区永前市场烧卤区14号</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1B6B3A74">
      <w:pPr>
        <w:spacing w:line="540" w:lineRule="exact"/>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何凤兰</w:t>
      </w:r>
      <w:bookmarkEnd w:id="7"/>
      <w:r>
        <w:rPr>
          <w:rFonts w:hint="eastAsia" w:ascii="Times New Roman" w:hAnsi="Times New Roman" w:eastAsia="仿宋_GB2312" w:cs="Mongolian Baiti"/>
          <w:b w:val="0"/>
          <w:bCs/>
          <w:color w:val="000000"/>
          <w:kern w:val="1"/>
          <w:sz w:val="32"/>
          <w:szCs w:val="32"/>
          <w:u w:val="none"/>
        </w:rPr>
        <w:t xml:space="preserve">                       </w:t>
      </w:r>
    </w:p>
    <w:p w14:paraId="19D22A88">
      <w:pPr>
        <w:spacing w:line="540" w:lineRule="exact"/>
        <w:ind w:left="140" w:hanging="140"/>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highlight w:val="none"/>
          <w:u w:val="none"/>
        </w:rPr>
        <w:t>450222</w:t>
      </w:r>
      <w:r>
        <w:rPr>
          <w:rFonts w:hint="eastAsia" w:ascii="Times New Roman" w:hAnsi="Times New Roman" w:eastAsia="仿宋_GB2312" w:cs="Mongolian Baiti"/>
          <w:b w:val="0"/>
          <w:color w:val="000000"/>
          <w:sz w:val="32"/>
          <w:highlight w:val="none"/>
          <w:u w:val="none"/>
          <w:lang w:val="en-US" w:eastAsia="zh-CN"/>
        </w:rPr>
        <w:t>********</w:t>
      </w:r>
      <w:bookmarkStart w:id="11" w:name="_GoBack"/>
      <w:bookmarkEnd w:id="11"/>
      <w:r>
        <w:rPr>
          <w:rFonts w:hint="eastAsia" w:ascii="Times New Roman" w:hAnsi="Times New Roman" w:eastAsia="仿宋_GB2312" w:cs="Mongolian Baiti"/>
          <w:b w:val="0"/>
          <w:color w:val="000000"/>
          <w:sz w:val="32"/>
          <w:highlight w:val="none"/>
          <w:u w:val="none"/>
        </w:rPr>
        <w:t>0628</w:t>
      </w:r>
      <w:bookmarkEnd w:id="8"/>
      <w:r>
        <w:rPr>
          <w:rFonts w:hint="eastAsia" w:ascii="Times New Roman" w:hAnsi="Times New Roman" w:eastAsia="仿宋_GB2312" w:cs="Mongolian Baiti"/>
          <w:b w:val="0"/>
          <w:bCs/>
          <w:color w:val="000000"/>
          <w:kern w:val="1"/>
          <w:sz w:val="32"/>
          <w:szCs w:val="32"/>
          <w:highlight w:val="none"/>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263F3016">
      <w:pPr>
        <w:pStyle w:val="3"/>
        <w:tabs>
          <w:tab w:val="left" w:pos="9060"/>
        </w:tabs>
        <w:spacing w:line="240" w:lineRule="auto"/>
        <w:ind w:firstLine="640" w:firstLineChars="200"/>
        <w:rPr>
          <w:rFonts w:hint="eastAsia" w:ascii="仿宋_GB2312" w:hAnsi="方正仿宋_GBK" w:eastAsia="仿宋_GB2312"/>
          <w:b w:val="0"/>
          <w:bCs/>
          <w:color w:val="auto"/>
          <w:u w:val="single" w:color="231F20"/>
        </w:rPr>
      </w:pPr>
    </w:p>
    <w:p w14:paraId="32F7B1A5">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u w:val="none"/>
          <w:lang w:val="en-US" w:eastAsia="zh-CN"/>
        </w:rPr>
        <w:t>2024年</w:t>
      </w:r>
      <w:r>
        <w:rPr>
          <w:rFonts w:hint="default"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lang w:val="en-US" w:eastAsia="zh-CN"/>
        </w:rPr>
        <w:t>日，我局执法人员对位于</w:t>
      </w:r>
      <w:r>
        <w:rPr>
          <w:rFonts w:hint="eastAsia" w:ascii="仿宋" w:hAnsi="仿宋" w:eastAsia="仿宋" w:cs="仿宋"/>
          <w:color w:val="000000"/>
          <w:sz w:val="32"/>
          <w:szCs w:val="32"/>
          <w:highlight w:val="black"/>
          <w:u w:val="none"/>
          <w:lang w:val="en-US" w:eastAsia="zh-CN"/>
        </w:rPr>
        <w:t>柳州市永前市场烧卤区</w:t>
      </w:r>
      <w:r>
        <w:rPr>
          <w:rFonts w:hint="default" w:ascii="仿宋" w:hAnsi="仿宋" w:eastAsia="仿宋" w:cs="仿宋"/>
          <w:color w:val="000000"/>
          <w:sz w:val="32"/>
          <w:szCs w:val="32"/>
          <w:highlight w:val="black"/>
          <w:u w:val="none"/>
          <w:lang w:val="en-US" w:eastAsia="zh-CN"/>
        </w:rPr>
        <w:t>14</w:t>
      </w:r>
      <w:r>
        <w:rPr>
          <w:rFonts w:hint="eastAsia" w:ascii="仿宋" w:hAnsi="仿宋" w:eastAsia="仿宋" w:cs="仿宋"/>
          <w:color w:val="000000"/>
          <w:sz w:val="32"/>
          <w:szCs w:val="32"/>
          <w:highlight w:val="black"/>
          <w:u w:val="none"/>
          <w:lang w:val="en-US" w:eastAsia="zh-CN"/>
        </w:rPr>
        <w:t>号的</w:t>
      </w:r>
      <w:r>
        <w:rPr>
          <w:rFonts w:hint="eastAsia" w:ascii="仿宋" w:hAnsi="仿宋" w:eastAsia="仿宋" w:cs="仿宋"/>
          <w:color w:val="000000"/>
          <w:sz w:val="32"/>
          <w:szCs w:val="32"/>
          <w:u w:val="none"/>
          <w:lang w:val="en-US" w:eastAsia="zh-CN"/>
        </w:rPr>
        <w:t>柳州市柳南区何凤兰烤鸭店用于贸易结算的“电子计价秤”（标有“准之衡”字样，型号：ACS-30，出厂编号：</w:t>
      </w:r>
      <w:r>
        <w:rPr>
          <w:rFonts w:hint="default" w:ascii="仿宋" w:hAnsi="仿宋" w:eastAsia="仿宋" w:cs="仿宋"/>
          <w:color w:val="000000"/>
          <w:sz w:val="32"/>
          <w:szCs w:val="32"/>
          <w:u w:val="none"/>
          <w:lang w:val="en-US" w:eastAsia="zh-CN"/>
        </w:rPr>
        <w:t>4792</w:t>
      </w:r>
      <w:r>
        <w:rPr>
          <w:rFonts w:hint="eastAsia" w:ascii="仿宋" w:hAnsi="仿宋" w:eastAsia="仿宋" w:cs="仿宋"/>
          <w:color w:val="000000"/>
          <w:sz w:val="32"/>
          <w:szCs w:val="32"/>
          <w:u w:val="none"/>
          <w:lang w:val="en-US" w:eastAsia="zh-CN"/>
        </w:rPr>
        <w:t>，生产日期：</w:t>
      </w:r>
      <w:r>
        <w:rPr>
          <w:rFonts w:hint="default" w:ascii="仿宋" w:hAnsi="仿宋" w:eastAsia="仿宋" w:cs="仿宋"/>
          <w:color w:val="000000"/>
          <w:sz w:val="32"/>
          <w:szCs w:val="32"/>
          <w:u w:val="none"/>
          <w:lang w:val="en-US" w:eastAsia="zh-CN"/>
        </w:rPr>
        <w:t>2021.11</w:t>
      </w:r>
      <w:r>
        <w:rPr>
          <w:rFonts w:hint="eastAsia" w:ascii="仿宋" w:hAnsi="仿宋" w:eastAsia="仿宋" w:cs="仿宋"/>
          <w:color w:val="000000"/>
          <w:sz w:val="32"/>
          <w:szCs w:val="32"/>
          <w:u w:val="none"/>
          <w:lang w:val="en-US" w:eastAsia="zh-CN"/>
        </w:rPr>
        <w:t>，</w:t>
      </w:r>
      <w:r>
        <w:rPr>
          <w:rFonts w:hint="eastAsia" w:ascii="仿宋" w:hAnsi="仿宋" w:eastAsia="仿宋" w:cs="仿宋"/>
          <w:color w:val="000000"/>
          <w:sz w:val="32"/>
          <w:szCs w:val="32"/>
          <w:highlight w:val="black"/>
          <w:u w:val="none"/>
          <w:lang w:val="en-US" w:eastAsia="zh-CN"/>
        </w:rPr>
        <w:t>上海市金鼎工贸有限公司</w:t>
      </w:r>
      <w:r>
        <w:rPr>
          <w:rFonts w:hint="eastAsia" w:ascii="仿宋" w:hAnsi="仿宋" w:eastAsia="仿宋" w:cs="仿宋"/>
          <w:color w:val="000000"/>
          <w:sz w:val="32"/>
          <w:szCs w:val="32"/>
          <w:u w:val="none"/>
          <w:lang w:val="en-US" w:eastAsia="zh-CN"/>
        </w:rPr>
        <w:t>）开展检查。当执法人员放置1KG标准砝码在该电子计价秤上时，按下“单价1”，重量显示</w:t>
      </w:r>
      <w:r>
        <w:rPr>
          <w:rFonts w:hint="default" w:ascii="仿宋" w:hAnsi="仿宋" w:eastAsia="仿宋" w:cs="仿宋"/>
          <w:color w:val="000000"/>
          <w:sz w:val="32"/>
          <w:szCs w:val="32"/>
          <w:u w:val="none"/>
          <w:lang w:val="en-US" w:eastAsia="zh-CN"/>
        </w:rPr>
        <w:t>1.050KG</w:t>
      </w:r>
      <w:r>
        <w:rPr>
          <w:rFonts w:hint="eastAsia" w:ascii="仿宋" w:hAnsi="仿宋" w:eastAsia="仿宋" w:cs="仿宋"/>
          <w:color w:val="000000"/>
          <w:sz w:val="32"/>
          <w:szCs w:val="32"/>
          <w:u w:val="none"/>
          <w:lang w:val="en-US" w:eastAsia="zh-CN"/>
        </w:rPr>
        <w:t>；按下“单价2”，重量显示</w:t>
      </w:r>
      <w:r>
        <w:rPr>
          <w:rFonts w:hint="default" w:ascii="仿宋" w:hAnsi="仿宋" w:eastAsia="仿宋" w:cs="仿宋"/>
          <w:color w:val="000000"/>
          <w:sz w:val="32"/>
          <w:szCs w:val="32"/>
          <w:u w:val="none"/>
          <w:lang w:val="en-US" w:eastAsia="zh-CN"/>
        </w:rPr>
        <w:t>1.100KG</w:t>
      </w:r>
      <w:r>
        <w:rPr>
          <w:rFonts w:hint="eastAsia" w:ascii="仿宋" w:hAnsi="仿宋" w:eastAsia="仿宋" w:cs="仿宋"/>
          <w:color w:val="000000"/>
          <w:sz w:val="32"/>
          <w:szCs w:val="32"/>
          <w:u w:val="none"/>
          <w:lang w:val="en-US" w:eastAsia="zh-CN"/>
        </w:rPr>
        <w:t>；按下“单价3”，重量显示</w:t>
      </w:r>
      <w:r>
        <w:rPr>
          <w:rFonts w:hint="default" w:ascii="仿宋" w:hAnsi="仿宋" w:eastAsia="仿宋" w:cs="仿宋"/>
          <w:color w:val="000000"/>
          <w:sz w:val="32"/>
          <w:szCs w:val="32"/>
          <w:u w:val="none"/>
          <w:lang w:val="en-US" w:eastAsia="zh-CN"/>
        </w:rPr>
        <w:t>1.150KG</w:t>
      </w:r>
      <w:r>
        <w:rPr>
          <w:rFonts w:hint="eastAsia" w:ascii="仿宋" w:hAnsi="仿宋" w:eastAsia="仿宋" w:cs="仿宋"/>
          <w:color w:val="000000"/>
          <w:sz w:val="32"/>
          <w:szCs w:val="32"/>
          <w:u w:val="none"/>
          <w:lang w:val="en-US" w:eastAsia="zh-CN"/>
        </w:rPr>
        <w:t>；按下“单价4”，重量显示</w:t>
      </w:r>
      <w:r>
        <w:rPr>
          <w:rFonts w:hint="default" w:ascii="仿宋" w:hAnsi="仿宋" w:eastAsia="仿宋" w:cs="仿宋"/>
          <w:color w:val="000000"/>
          <w:sz w:val="32"/>
          <w:szCs w:val="32"/>
          <w:u w:val="none"/>
          <w:lang w:val="en-US" w:eastAsia="zh-CN"/>
        </w:rPr>
        <w:t>1.200KG</w:t>
      </w:r>
      <w:r>
        <w:rPr>
          <w:rFonts w:hint="eastAsia" w:ascii="仿宋" w:hAnsi="仿宋" w:eastAsia="仿宋" w:cs="仿宋"/>
          <w:color w:val="000000"/>
          <w:sz w:val="32"/>
          <w:szCs w:val="32"/>
          <w:u w:val="none"/>
          <w:lang w:val="en-US" w:eastAsia="zh-CN"/>
        </w:rPr>
        <w:t>；按下“单价</w:t>
      </w:r>
      <w:r>
        <w:rPr>
          <w:rFonts w:hint="default"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lang w:val="en-US" w:eastAsia="zh-CN"/>
        </w:rPr>
        <w:t>”，重量显示</w:t>
      </w:r>
      <w:r>
        <w:rPr>
          <w:rFonts w:hint="default" w:ascii="仿宋" w:hAnsi="仿宋" w:eastAsia="仿宋" w:cs="仿宋"/>
          <w:color w:val="000000"/>
          <w:sz w:val="32"/>
          <w:szCs w:val="32"/>
          <w:u w:val="none"/>
          <w:lang w:val="en-US" w:eastAsia="zh-CN"/>
        </w:rPr>
        <w:t>1.250KG</w:t>
      </w:r>
      <w:r>
        <w:rPr>
          <w:rFonts w:hint="eastAsia" w:ascii="仿宋" w:hAnsi="仿宋" w:eastAsia="仿宋" w:cs="仿宋"/>
          <w:color w:val="000000"/>
          <w:sz w:val="32"/>
          <w:szCs w:val="32"/>
          <w:u w:val="none"/>
          <w:lang w:val="en-US" w:eastAsia="zh-CN"/>
        </w:rPr>
        <w:t>；按下“单价</w:t>
      </w:r>
      <w:r>
        <w:rPr>
          <w:rFonts w:hint="default"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lang w:val="en-US" w:eastAsia="zh-CN"/>
        </w:rPr>
        <w:t>”，重量显示</w:t>
      </w:r>
      <w:r>
        <w:rPr>
          <w:rFonts w:hint="default" w:ascii="仿宋" w:hAnsi="仿宋" w:eastAsia="仿宋" w:cs="仿宋"/>
          <w:color w:val="000000"/>
          <w:sz w:val="32"/>
          <w:szCs w:val="32"/>
          <w:u w:val="none"/>
          <w:lang w:val="en-US" w:eastAsia="zh-CN"/>
        </w:rPr>
        <w:t>1.300KG</w:t>
      </w:r>
      <w:r>
        <w:rPr>
          <w:rFonts w:hint="eastAsia" w:ascii="仿宋" w:hAnsi="仿宋" w:eastAsia="仿宋" w:cs="仿宋"/>
          <w:color w:val="000000"/>
          <w:sz w:val="32"/>
          <w:szCs w:val="32"/>
          <w:u w:val="none"/>
          <w:lang w:val="en-US" w:eastAsia="zh-CN"/>
        </w:rPr>
        <w:t>。执法人员填写《柳州市柳南区市场监督管理局抽样记录》并委托柳州市计量技术测试研究所检测。2024年9月29日柳州市计量技术测试研究所对当事人用于贸易结算的电子计价秤出具《检定结果通知书》（证书编号：HLH24090</w:t>
      </w:r>
      <w:r>
        <w:rPr>
          <w:rFonts w:hint="default" w:ascii="仿宋" w:hAnsi="仿宋" w:eastAsia="仿宋" w:cs="仿宋"/>
          <w:color w:val="000000"/>
          <w:sz w:val="32"/>
          <w:szCs w:val="32"/>
          <w:u w:val="none"/>
          <w:lang w:val="en-US" w:eastAsia="zh-CN"/>
        </w:rPr>
        <w:t>217</w:t>
      </w:r>
      <w:r>
        <w:rPr>
          <w:rFonts w:hint="eastAsia" w:ascii="仿宋" w:hAnsi="仿宋" w:eastAsia="仿宋" w:cs="仿宋"/>
          <w:color w:val="000000"/>
          <w:sz w:val="32"/>
          <w:szCs w:val="32"/>
          <w:u w:val="none"/>
          <w:lang w:val="en-US" w:eastAsia="zh-CN"/>
        </w:rPr>
        <w:t>号），经检定，该秤存在欺骗性使用特征，检定结果为不合格。</w:t>
      </w:r>
      <w:r>
        <w:rPr>
          <w:rFonts w:hint="eastAsia" w:ascii="仿宋" w:hAnsi="仿宋" w:eastAsia="仿宋" w:cs="仿宋"/>
          <w:color w:val="000000" w:themeColor="text1"/>
          <w:kern w:val="0"/>
          <w:sz w:val="32"/>
          <w:szCs w:val="32"/>
          <w:u w:val="none"/>
          <w:lang w:val="en-US" w:eastAsia="zh-CN"/>
          <w14:textFill>
            <w14:solidFill>
              <w14:schemeClr w14:val="tx1"/>
            </w14:solidFill>
          </w14:textFill>
        </w:rPr>
        <w:t>为进一步查明情况，</w:t>
      </w:r>
      <w:r>
        <w:rPr>
          <w:rFonts w:hint="eastAsia" w:ascii="仿宋" w:hAnsi="仿宋" w:eastAsia="仿宋" w:cs="仿宋"/>
          <w:color w:val="000000"/>
          <w:kern w:val="0"/>
          <w:sz w:val="32"/>
          <w:szCs w:val="32"/>
          <w:u w:val="none"/>
          <w:lang w:val="en-US" w:eastAsia="zh-CN"/>
        </w:rPr>
        <w:t>我局于202</w:t>
      </w:r>
      <w:r>
        <w:rPr>
          <w:rFonts w:hint="default" w:ascii="仿宋" w:hAnsi="仿宋" w:eastAsia="仿宋" w:cs="仿宋"/>
          <w:color w:val="000000"/>
          <w:kern w:val="0"/>
          <w:sz w:val="32"/>
          <w:szCs w:val="32"/>
          <w:u w:val="none"/>
          <w:lang w:val="en-US" w:eastAsia="zh-CN"/>
        </w:rPr>
        <w:t>4</w:t>
      </w:r>
      <w:r>
        <w:rPr>
          <w:rFonts w:hint="eastAsia" w:ascii="仿宋" w:hAnsi="仿宋" w:eastAsia="仿宋" w:cs="仿宋"/>
          <w:color w:val="000000"/>
          <w:kern w:val="0"/>
          <w:sz w:val="32"/>
          <w:szCs w:val="32"/>
          <w:u w:val="none"/>
          <w:lang w:val="en-US" w:eastAsia="zh-CN"/>
        </w:rPr>
        <w:t>年</w:t>
      </w:r>
      <w:r>
        <w:rPr>
          <w:rFonts w:hint="default" w:ascii="仿宋" w:hAnsi="仿宋" w:eastAsia="仿宋" w:cs="仿宋"/>
          <w:color w:val="000000"/>
          <w:kern w:val="0"/>
          <w:sz w:val="32"/>
          <w:szCs w:val="32"/>
          <w:u w:val="none"/>
          <w:lang w:val="en-US" w:eastAsia="zh-CN"/>
        </w:rPr>
        <w:t>10</w:t>
      </w:r>
      <w:r>
        <w:rPr>
          <w:rFonts w:hint="eastAsia" w:ascii="仿宋" w:hAnsi="仿宋" w:eastAsia="仿宋" w:cs="仿宋"/>
          <w:color w:val="000000"/>
          <w:kern w:val="0"/>
          <w:sz w:val="32"/>
          <w:szCs w:val="32"/>
          <w:u w:val="none"/>
          <w:lang w:val="en-US" w:eastAsia="zh-CN"/>
        </w:rPr>
        <w:t>月</w:t>
      </w:r>
      <w:r>
        <w:rPr>
          <w:rFonts w:hint="default" w:ascii="仿宋" w:hAnsi="仿宋" w:eastAsia="仿宋" w:cs="仿宋"/>
          <w:color w:val="000000"/>
          <w:kern w:val="0"/>
          <w:sz w:val="32"/>
          <w:szCs w:val="32"/>
          <w:u w:val="none"/>
          <w:lang w:val="en-US" w:eastAsia="zh-CN"/>
        </w:rPr>
        <w:t>18</w:t>
      </w:r>
      <w:r>
        <w:rPr>
          <w:rFonts w:hint="eastAsia" w:ascii="仿宋" w:hAnsi="仿宋" w:eastAsia="仿宋" w:cs="仿宋"/>
          <w:color w:val="000000"/>
          <w:kern w:val="0"/>
          <w:sz w:val="32"/>
          <w:szCs w:val="32"/>
          <w:u w:val="none"/>
          <w:lang w:val="en-US" w:eastAsia="zh-CN"/>
        </w:rPr>
        <w:t>日予以立案，</w:t>
      </w:r>
      <w:r>
        <w:rPr>
          <w:rFonts w:hint="eastAsia" w:ascii="仿宋" w:hAnsi="仿宋" w:eastAsia="仿宋" w:cs="仿宋"/>
          <w:color w:val="000000"/>
          <w:sz w:val="32"/>
          <w:szCs w:val="32"/>
          <w:u w:val="none"/>
          <w:lang w:val="en-US" w:eastAsia="zh-CN"/>
        </w:rPr>
        <w:t>并于202</w:t>
      </w:r>
      <w:r>
        <w:rPr>
          <w:rFonts w:hint="default"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lang w:val="en-US" w:eastAsia="zh-CN"/>
        </w:rPr>
        <w:t>年</w:t>
      </w:r>
      <w:r>
        <w:rPr>
          <w:rFonts w:hint="default" w:ascii="仿宋" w:hAnsi="仿宋" w:eastAsia="仿宋" w:cs="仿宋"/>
          <w:color w:val="000000"/>
          <w:sz w:val="32"/>
          <w:szCs w:val="32"/>
          <w:u w:val="none"/>
          <w:lang w:val="en-US" w:eastAsia="zh-CN"/>
        </w:rPr>
        <w:t>10</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US" w:eastAsia="zh-CN"/>
        </w:rPr>
        <w:t>31</w:t>
      </w:r>
      <w:r>
        <w:rPr>
          <w:rFonts w:hint="eastAsia" w:ascii="仿宋" w:hAnsi="仿宋" w:eastAsia="仿宋" w:cs="仿宋"/>
          <w:color w:val="000000"/>
          <w:sz w:val="32"/>
          <w:szCs w:val="32"/>
          <w:u w:val="none"/>
          <w:lang w:val="en-US" w:eastAsia="zh-CN"/>
        </w:rPr>
        <w:t xml:space="preserve">日对当事人进行询问调查。 </w:t>
      </w:r>
    </w:p>
    <w:p w14:paraId="6DA028C4">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u w:val="none"/>
          <w:lang w:val="en-US" w:eastAsia="zh-CN"/>
        </w:rPr>
        <w:t>经查，当事人在</w:t>
      </w:r>
      <w:r>
        <w:rPr>
          <w:rFonts w:hint="eastAsia" w:ascii="仿宋" w:hAnsi="仿宋" w:eastAsia="仿宋" w:cs="仿宋"/>
          <w:color w:val="000000"/>
          <w:sz w:val="32"/>
          <w:szCs w:val="32"/>
          <w:highlight w:val="black"/>
          <w:u w:val="none"/>
          <w:lang w:val="en-US" w:eastAsia="zh-CN"/>
        </w:rPr>
        <w:t>柳州市永前市场烧卤区</w:t>
      </w:r>
      <w:r>
        <w:rPr>
          <w:rFonts w:hint="default" w:ascii="仿宋" w:hAnsi="仿宋" w:eastAsia="仿宋" w:cs="仿宋"/>
          <w:color w:val="000000"/>
          <w:sz w:val="32"/>
          <w:szCs w:val="32"/>
          <w:highlight w:val="black"/>
          <w:u w:val="none"/>
          <w:lang w:val="en-US" w:eastAsia="zh-CN"/>
        </w:rPr>
        <w:t>14</w:t>
      </w:r>
      <w:r>
        <w:rPr>
          <w:rFonts w:hint="eastAsia" w:ascii="仿宋" w:hAnsi="仿宋" w:eastAsia="仿宋" w:cs="仿宋"/>
          <w:color w:val="000000"/>
          <w:sz w:val="32"/>
          <w:szCs w:val="32"/>
          <w:highlight w:val="black"/>
          <w:u w:val="none"/>
          <w:lang w:val="en-US" w:eastAsia="zh-CN"/>
        </w:rPr>
        <w:t>号</w:t>
      </w:r>
      <w:r>
        <w:rPr>
          <w:rFonts w:hint="eastAsia" w:ascii="仿宋" w:hAnsi="仿宋" w:eastAsia="仿宋" w:cs="仿宋"/>
          <w:color w:val="000000"/>
          <w:sz w:val="32"/>
          <w:szCs w:val="32"/>
          <w:u w:val="none"/>
          <w:lang w:val="en-US" w:eastAsia="zh-CN"/>
        </w:rPr>
        <w:t>从事烧卤类熟食制售，其经营场所位于集贸市场内，已取得营业执照、食品经营许可证。</w:t>
      </w:r>
      <w:r>
        <w:rPr>
          <w:rFonts w:hint="default" w:ascii="仿宋" w:hAnsi="仿宋" w:eastAsia="仿宋" w:cs="仿宋"/>
          <w:color w:val="000000"/>
          <w:sz w:val="32"/>
          <w:szCs w:val="32"/>
          <w:u w:val="none"/>
          <w:lang w:val="en-US" w:eastAsia="zh-CN"/>
        </w:rPr>
        <w:t>2024</w:t>
      </w:r>
      <w:r>
        <w:rPr>
          <w:rFonts w:hint="eastAsia" w:ascii="仿宋" w:hAnsi="仿宋" w:eastAsia="仿宋" w:cs="仿宋"/>
          <w:color w:val="000000"/>
          <w:sz w:val="32"/>
          <w:szCs w:val="32"/>
          <w:u w:val="none"/>
          <w:lang w:val="en-US" w:eastAsia="zh-CN"/>
        </w:rPr>
        <w:t>年</w:t>
      </w:r>
      <w:r>
        <w:rPr>
          <w:rFonts w:hint="default"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US" w:eastAsia="zh-CN"/>
        </w:rPr>
        <w:t>29</w:t>
      </w:r>
      <w:r>
        <w:rPr>
          <w:rFonts w:hint="eastAsia" w:ascii="仿宋" w:hAnsi="仿宋" w:eastAsia="仿宋" w:cs="仿宋"/>
          <w:color w:val="000000"/>
          <w:sz w:val="32"/>
          <w:szCs w:val="32"/>
          <w:u w:val="none"/>
          <w:lang w:val="en-US" w:eastAsia="zh-CN"/>
        </w:rPr>
        <w:t>日柳州市计量技术测试研究所对当事人用于贸易结算的电子计价秤（型号：ACS-30，出厂编号：</w:t>
      </w:r>
      <w:r>
        <w:rPr>
          <w:rFonts w:hint="default" w:ascii="仿宋" w:hAnsi="仿宋" w:eastAsia="仿宋" w:cs="仿宋"/>
          <w:color w:val="000000"/>
          <w:sz w:val="32"/>
          <w:szCs w:val="32"/>
          <w:u w:val="none"/>
          <w:lang w:val="en-US" w:eastAsia="zh-CN"/>
        </w:rPr>
        <w:t>4792</w:t>
      </w:r>
      <w:r>
        <w:rPr>
          <w:rFonts w:hint="eastAsia" w:ascii="仿宋" w:hAnsi="仿宋" w:eastAsia="仿宋" w:cs="仿宋"/>
          <w:color w:val="000000"/>
          <w:sz w:val="32"/>
          <w:szCs w:val="32"/>
          <w:u w:val="none"/>
          <w:lang w:val="en-US" w:eastAsia="zh-CN"/>
        </w:rPr>
        <w:t>，生产日期：</w:t>
      </w:r>
      <w:r>
        <w:rPr>
          <w:rFonts w:hint="default" w:ascii="仿宋" w:hAnsi="仿宋" w:eastAsia="仿宋" w:cs="仿宋"/>
          <w:color w:val="000000"/>
          <w:sz w:val="32"/>
          <w:szCs w:val="32"/>
          <w:u w:val="none"/>
          <w:lang w:val="en-US" w:eastAsia="zh-CN"/>
        </w:rPr>
        <w:t>2021.11</w:t>
      </w:r>
      <w:r>
        <w:rPr>
          <w:rFonts w:hint="eastAsia" w:ascii="仿宋" w:hAnsi="仿宋" w:eastAsia="仿宋" w:cs="仿宋"/>
          <w:color w:val="000000"/>
          <w:sz w:val="32"/>
          <w:szCs w:val="32"/>
          <w:u w:val="none"/>
          <w:lang w:val="en-US" w:eastAsia="zh-CN"/>
        </w:rPr>
        <w:t>，制造单位：</w:t>
      </w:r>
      <w:r>
        <w:rPr>
          <w:rFonts w:hint="eastAsia" w:ascii="仿宋" w:hAnsi="仿宋" w:eastAsia="仿宋" w:cs="仿宋"/>
          <w:color w:val="000000"/>
          <w:sz w:val="32"/>
          <w:szCs w:val="32"/>
          <w:highlight w:val="black"/>
          <w:u w:val="none"/>
          <w:lang w:val="en-US" w:eastAsia="zh-CN"/>
        </w:rPr>
        <w:t>上海市金鼎工贸有限公司</w:t>
      </w:r>
      <w:r>
        <w:rPr>
          <w:rFonts w:hint="eastAsia" w:ascii="仿宋" w:hAnsi="仿宋" w:eastAsia="仿宋" w:cs="仿宋"/>
          <w:color w:val="000000"/>
          <w:sz w:val="32"/>
          <w:szCs w:val="32"/>
          <w:u w:val="none"/>
          <w:lang w:val="en-US" w:eastAsia="zh-CN"/>
        </w:rPr>
        <w:t>）出具《检定结果通知书》（证书编号：HLH24090</w:t>
      </w:r>
      <w:r>
        <w:rPr>
          <w:rFonts w:hint="default" w:ascii="仿宋" w:hAnsi="仿宋" w:eastAsia="仿宋" w:cs="仿宋"/>
          <w:color w:val="000000"/>
          <w:sz w:val="32"/>
          <w:szCs w:val="32"/>
          <w:u w:val="none"/>
          <w:lang w:val="en-US" w:eastAsia="zh-CN"/>
        </w:rPr>
        <w:t>217</w:t>
      </w:r>
      <w:r>
        <w:rPr>
          <w:rFonts w:hint="eastAsia" w:ascii="仿宋" w:hAnsi="仿宋" w:eastAsia="仿宋" w:cs="仿宋"/>
          <w:color w:val="000000"/>
          <w:sz w:val="32"/>
          <w:szCs w:val="32"/>
          <w:u w:val="none"/>
          <w:lang w:val="en-US" w:eastAsia="zh-CN"/>
        </w:rPr>
        <w:t>）。经检定，该秤存在欺骗性使用特征；开机后，按“</w:t>
      </w:r>
      <w:r>
        <w:rPr>
          <w:rFonts w:hint="default"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lang w:val="en-US" w:eastAsia="zh-CN"/>
        </w:rPr>
        <w:t>”</w:t>
      </w:r>
      <w:r>
        <w:rPr>
          <w:rFonts w:hint="eastAsia" w:ascii="仿宋" w:hAnsi="仿宋" w:eastAsia="仿宋" w:cs="仿宋"/>
          <w:color w:val="000000"/>
          <w:sz w:val="32"/>
          <w:szCs w:val="32"/>
          <w:highlight w:val="none"/>
          <w:u w:val="none"/>
          <w:lang w:val="en-US" w:eastAsia="zh-CN"/>
        </w:rPr>
        <w:t>→“去皮”后，进入作弊状态，通过按下不同的按键改变秤量示值。如载荷为</w:t>
      </w:r>
      <w:r>
        <w:rPr>
          <w:rFonts w:hint="default" w:ascii="仿宋" w:hAnsi="仿宋" w:eastAsia="仿宋" w:cs="仿宋"/>
          <w:color w:val="000000"/>
          <w:sz w:val="32"/>
          <w:szCs w:val="32"/>
          <w:highlight w:val="none"/>
          <w:u w:val="none"/>
          <w:lang w:val="en-US" w:eastAsia="zh-CN"/>
        </w:rPr>
        <w:t>1000g</w:t>
      </w:r>
      <w:r>
        <w:rPr>
          <w:rFonts w:hint="eastAsia" w:ascii="仿宋" w:hAnsi="仿宋" w:eastAsia="仿宋" w:cs="仿宋"/>
          <w:color w:val="000000"/>
          <w:sz w:val="32"/>
          <w:szCs w:val="32"/>
          <w:highlight w:val="none"/>
          <w:u w:val="none"/>
          <w:lang w:val="en-US" w:eastAsia="zh-CN"/>
        </w:rPr>
        <w:t>，按“单价</w:t>
      </w:r>
      <w:r>
        <w:rPr>
          <w:rFonts w:hint="default" w:ascii="仿宋" w:hAnsi="仿宋" w:eastAsia="仿宋" w:cs="仿宋"/>
          <w:color w:val="000000"/>
          <w:sz w:val="32"/>
          <w:szCs w:val="32"/>
          <w:highlight w:val="none"/>
          <w:u w:val="none"/>
          <w:lang w:val="en-US" w:eastAsia="zh-CN"/>
        </w:rPr>
        <w:t>1</w:t>
      </w:r>
      <w:r>
        <w:rPr>
          <w:rFonts w:hint="eastAsia" w:ascii="仿宋" w:hAnsi="仿宋" w:eastAsia="仿宋" w:cs="仿宋"/>
          <w:color w:val="000000"/>
          <w:sz w:val="32"/>
          <w:szCs w:val="32"/>
          <w:highlight w:val="none"/>
          <w:u w:val="none"/>
          <w:lang w:val="en-US" w:eastAsia="zh-CN"/>
        </w:rPr>
        <w:t>”键时显示</w:t>
      </w:r>
      <w:r>
        <w:rPr>
          <w:rFonts w:hint="default" w:ascii="仿宋" w:hAnsi="仿宋" w:eastAsia="仿宋" w:cs="仿宋"/>
          <w:color w:val="000000"/>
          <w:sz w:val="32"/>
          <w:szCs w:val="32"/>
          <w:highlight w:val="none"/>
          <w:u w:val="none"/>
          <w:lang w:val="en-US" w:eastAsia="zh-CN"/>
        </w:rPr>
        <w:t>2.100</w:t>
      </w:r>
      <w:r>
        <w:rPr>
          <w:rFonts w:hint="eastAsia" w:ascii="仿宋" w:hAnsi="仿宋" w:eastAsia="仿宋" w:cs="仿宋"/>
          <w:color w:val="000000"/>
          <w:sz w:val="32"/>
          <w:szCs w:val="32"/>
          <w:highlight w:val="none"/>
          <w:u w:val="none"/>
          <w:lang w:val="en-US" w:eastAsia="zh-CN"/>
        </w:rPr>
        <w:t>市斤，按“单价</w:t>
      </w:r>
      <w:r>
        <w:rPr>
          <w:rFonts w:hint="default" w:ascii="仿宋" w:hAnsi="仿宋" w:eastAsia="仿宋" w:cs="仿宋"/>
          <w:color w:val="000000"/>
          <w:sz w:val="32"/>
          <w:szCs w:val="32"/>
          <w:highlight w:val="none"/>
          <w:u w:val="none"/>
          <w:lang w:val="en-US" w:eastAsia="zh-CN"/>
        </w:rPr>
        <w:t>2</w:t>
      </w:r>
      <w:r>
        <w:rPr>
          <w:rFonts w:hint="eastAsia" w:ascii="仿宋" w:hAnsi="仿宋" w:eastAsia="仿宋" w:cs="仿宋"/>
          <w:color w:val="000000"/>
          <w:sz w:val="32"/>
          <w:szCs w:val="32"/>
          <w:highlight w:val="none"/>
          <w:u w:val="none"/>
          <w:lang w:val="en-US" w:eastAsia="zh-CN"/>
        </w:rPr>
        <w:t>”键时显示</w:t>
      </w:r>
      <w:r>
        <w:rPr>
          <w:rFonts w:hint="default" w:ascii="仿宋" w:hAnsi="仿宋" w:eastAsia="仿宋" w:cs="仿宋"/>
          <w:color w:val="000000"/>
          <w:sz w:val="32"/>
          <w:szCs w:val="32"/>
          <w:highlight w:val="none"/>
          <w:u w:val="none"/>
          <w:lang w:val="en-US" w:eastAsia="zh-CN"/>
        </w:rPr>
        <w:t>2.200</w:t>
      </w:r>
      <w:r>
        <w:rPr>
          <w:rFonts w:hint="eastAsia" w:ascii="仿宋" w:hAnsi="仿宋" w:eastAsia="仿宋" w:cs="仿宋"/>
          <w:color w:val="000000"/>
          <w:sz w:val="32"/>
          <w:szCs w:val="32"/>
          <w:highlight w:val="none"/>
          <w:u w:val="none"/>
          <w:lang w:val="en-US" w:eastAsia="zh-CN"/>
        </w:rPr>
        <w:t>市斤，按“单价</w:t>
      </w:r>
      <w:r>
        <w:rPr>
          <w:rFonts w:hint="default" w:ascii="仿宋" w:hAnsi="仿宋" w:eastAsia="仿宋" w:cs="仿宋"/>
          <w:color w:val="000000"/>
          <w:sz w:val="32"/>
          <w:szCs w:val="32"/>
          <w:highlight w:val="none"/>
          <w:u w:val="none"/>
          <w:lang w:val="en-US" w:eastAsia="zh-CN"/>
        </w:rPr>
        <w:t>3</w:t>
      </w:r>
      <w:r>
        <w:rPr>
          <w:rFonts w:hint="eastAsia" w:ascii="仿宋" w:hAnsi="仿宋" w:eastAsia="仿宋" w:cs="仿宋"/>
          <w:color w:val="000000"/>
          <w:sz w:val="32"/>
          <w:szCs w:val="32"/>
          <w:highlight w:val="none"/>
          <w:u w:val="none"/>
          <w:lang w:val="en-US" w:eastAsia="zh-CN"/>
        </w:rPr>
        <w:t>”键时显示</w:t>
      </w:r>
      <w:r>
        <w:rPr>
          <w:rFonts w:hint="default" w:ascii="仿宋" w:hAnsi="仿宋" w:eastAsia="仿宋" w:cs="仿宋"/>
          <w:color w:val="000000"/>
          <w:sz w:val="32"/>
          <w:szCs w:val="32"/>
          <w:highlight w:val="none"/>
          <w:u w:val="none"/>
          <w:lang w:val="en-US" w:eastAsia="zh-CN"/>
        </w:rPr>
        <w:t>2.300</w:t>
      </w:r>
      <w:r>
        <w:rPr>
          <w:rFonts w:hint="eastAsia" w:ascii="仿宋" w:hAnsi="仿宋" w:eastAsia="仿宋" w:cs="仿宋"/>
          <w:color w:val="000000"/>
          <w:sz w:val="32"/>
          <w:szCs w:val="32"/>
          <w:highlight w:val="none"/>
          <w:u w:val="none"/>
          <w:lang w:val="en-US" w:eastAsia="zh-CN"/>
        </w:rPr>
        <w:t>市斤，按“单价</w:t>
      </w:r>
      <w:r>
        <w:rPr>
          <w:rFonts w:hint="default" w:ascii="仿宋" w:hAnsi="仿宋" w:eastAsia="仿宋" w:cs="仿宋"/>
          <w:color w:val="000000"/>
          <w:sz w:val="32"/>
          <w:szCs w:val="32"/>
          <w:highlight w:val="none"/>
          <w:u w:val="none"/>
          <w:lang w:val="en-US" w:eastAsia="zh-CN"/>
        </w:rPr>
        <w:t>4</w:t>
      </w:r>
      <w:r>
        <w:rPr>
          <w:rFonts w:hint="eastAsia" w:ascii="仿宋" w:hAnsi="仿宋" w:eastAsia="仿宋" w:cs="仿宋"/>
          <w:color w:val="000000"/>
          <w:sz w:val="32"/>
          <w:szCs w:val="32"/>
          <w:highlight w:val="none"/>
          <w:u w:val="none"/>
          <w:lang w:val="en-US" w:eastAsia="zh-CN"/>
        </w:rPr>
        <w:t>”键时显示</w:t>
      </w:r>
      <w:r>
        <w:rPr>
          <w:rFonts w:hint="default" w:ascii="仿宋" w:hAnsi="仿宋" w:eastAsia="仿宋" w:cs="仿宋"/>
          <w:color w:val="000000"/>
          <w:sz w:val="32"/>
          <w:szCs w:val="32"/>
          <w:highlight w:val="none"/>
          <w:u w:val="none"/>
          <w:lang w:val="en-US" w:eastAsia="zh-CN"/>
        </w:rPr>
        <w:t>2.400</w:t>
      </w:r>
      <w:r>
        <w:rPr>
          <w:rFonts w:hint="eastAsia" w:ascii="仿宋" w:hAnsi="仿宋" w:eastAsia="仿宋" w:cs="仿宋"/>
          <w:color w:val="000000"/>
          <w:sz w:val="32"/>
          <w:szCs w:val="32"/>
          <w:highlight w:val="none"/>
          <w:u w:val="none"/>
          <w:lang w:val="en-US" w:eastAsia="zh-CN"/>
        </w:rPr>
        <w:t>市斤，按“单价</w:t>
      </w:r>
      <w:r>
        <w:rPr>
          <w:rFonts w:hint="default" w:ascii="仿宋" w:hAnsi="仿宋" w:eastAsia="仿宋" w:cs="仿宋"/>
          <w:color w:val="000000"/>
          <w:sz w:val="32"/>
          <w:szCs w:val="32"/>
          <w:highlight w:val="none"/>
          <w:u w:val="none"/>
          <w:lang w:val="en-US" w:eastAsia="zh-CN"/>
        </w:rPr>
        <w:t>5</w:t>
      </w:r>
      <w:r>
        <w:rPr>
          <w:rFonts w:hint="eastAsia" w:ascii="仿宋" w:hAnsi="仿宋" w:eastAsia="仿宋" w:cs="仿宋"/>
          <w:color w:val="000000"/>
          <w:sz w:val="32"/>
          <w:szCs w:val="32"/>
          <w:highlight w:val="none"/>
          <w:u w:val="none"/>
          <w:lang w:val="en-US" w:eastAsia="zh-CN"/>
        </w:rPr>
        <w:t>”键时显示</w:t>
      </w:r>
      <w:r>
        <w:rPr>
          <w:rFonts w:hint="default" w:ascii="仿宋" w:hAnsi="仿宋" w:eastAsia="仿宋" w:cs="仿宋"/>
          <w:color w:val="000000"/>
          <w:sz w:val="32"/>
          <w:szCs w:val="32"/>
          <w:highlight w:val="none"/>
          <w:u w:val="none"/>
          <w:lang w:val="en-US" w:eastAsia="zh-CN"/>
        </w:rPr>
        <w:t>2.500</w:t>
      </w:r>
      <w:r>
        <w:rPr>
          <w:rFonts w:hint="eastAsia" w:ascii="仿宋" w:hAnsi="仿宋" w:eastAsia="仿宋" w:cs="仿宋"/>
          <w:color w:val="000000"/>
          <w:sz w:val="32"/>
          <w:szCs w:val="32"/>
          <w:highlight w:val="none"/>
          <w:u w:val="none"/>
          <w:lang w:val="en-US" w:eastAsia="zh-CN"/>
        </w:rPr>
        <w:t>市斤，按“单价</w:t>
      </w:r>
      <w:r>
        <w:rPr>
          <w:rFonts w:hint="default" w:ascii="仿宋" w:hAnsi="仿宋" w:eastAsia="仿宋" w:cs="仿宋"/>
          <w:color w:val="000000"/>
          <w:sz w:val="32"/>
          <w:szCs w:val="32"/>
          <w:highlight w:val="none"/>
          <w:u w:val="none"/>
          <w:lang w:val="en-US" w:eastAsia="zh-CN"/>
        </w:rPr>
        <w:t>6</w:t>
      </w:r>
      <w:r>
        <w:rPr>
          <w:rFonts w:hint="eastAsia" w:ascii="仿宋" w:hAnsi="仿宋" w:eastAsia="仿宋" w:cs="仿宋"/>
          <w:color w:val="000000"/>
          <w:sz w:val="32"/>
          <w:szCs w:val="32"/>
          <w:highlight w:val="none"/>
          <w:u w:val="none"/>
          <w:lang w:val="en-US" w:eastAsia="zh-CN"/>
        </w:rPr>
        <w:t>”键时显示</w:t>
      </w:r>
      <w:r>
        <w:rPr>
          <w:rFonts w:hint="default" w:ascii="仿宋" w:hAnsi="仿宋" w:eastAsia="仿宋" w:cs="仿宋"/>
          <w:color w:val="000000"/>
          <w:sz w:val="32"/>
          <w:szCs w:val="32"/>
          <w:highlight w:val="none"/>
          <w:u w:val="none"/>
          <w:lang w:val="en-US" w:eastAsia="zh-CN"/>
        </w:rPr>
        <w:t>2.600</w:t>
      </w:r>
      <w:r>
        <w:rPr>
          <w:rFonts w:hint="eastAsia" w:ascii="仿宋" w:hAnsi="仿宋" w:eastAsia="仿宋" w:cs="仿宋"/>
          <w:color w:val="000000"/>
          <w:sz w:val="32"/>
          <w:szCs w:val="32"/>
          <w:highlight w:val="none"/>
          <w:u w:val="none"/>
          <w:lang w:val="en-US" w:eastAsia="zh-CN"/>
        </w:rPr>
        <w:t>市斤；</w:t>
      </w:r>
      <w:r>
        <w:rPr>
          <w:rFonts w:hint="eastAsia" w:ascii="仿宋" w:hAnsi="仿宋" w:eastAsia="仿宋" w:cs="仿宋"/>
          <w:color w:val="000000"/>
          <w:sz w:val="32"/>
          <w:szCs w:val="32"/>
          <w:u w:val="none"/>
          <w:lang w:val="en-US" w:eastAsia="zh-CN"/>
        </w:rPr>
        <w:t>检定结论为不合格。当事人对检定结论无异议。当事人陈述上述检定不合格的电子秤是</w:t>
      </w:r>
      <w:r>
        <w:rPr>
          <w:rFonts w:hint="default" w:ascii="仿宋" w:hAnsi="仿宋" w:eastAsia="仿宋" w:cs="仿宋"/>
          <w:color w:val="000000"/>
          <w:sz w:val="32"/>
          <w:szCs w:val="32"/>
          <w:u w:val="none"/>
          <w:lang w:val="en-US" w:eastAsia="zh-CN"/>
        </w:rPr>
        <w:t>2024</w:t>
      </w:r>
      <w:r>
        <w:rPr>
          <w:rFonts w:hint="eastAsia" w:ascii="仿宋" w:hAnsi="仿宋" w:eastAsia="仿宋" w:cs="仿宋"/>
          <w:color w:val="000000"/>
          <w:sz w:val="32"/>
          <w:szCs w:val="32"/>
          <w:u w:val="none"/>
          <w:lang w:val="en-US" w:eastAsia="zh-CN"/>
        </w:rPr>
        <w:t>年</w:t>
      </w:r>
      <w:r>
        <w:rPr>
          <w:rFonts w:hint="default"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lang w:val="en-US" w:eastAsia="zh-CN"/>
        </w:rPr>
        <w:t>月份购买并使用（电子秤购买的店铺名称和地址不详），无购进凭证及销售记录。由于当事人未建立销售记录台账，本案违法所得无法计算。</w:t>
      </w:r>
    </w:p>
    <w:p w14:paraId="1A5D30F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color w:val="000000"/>
          <w:kern w:val="1"/>
          <w:sz w:val="32"/>
          <w:szCs w:val="32"/>
          <w:u w:val="none"/>
        </w:rPr>
        <w:t>上述事实，主要有以下证据证明：</w:t>
      </w:r>
      <w:r>
        <w:rPr>
          <w:rFonts w:hint="eastAsia" w:ascii="仿宋" w:hAnsi="仿宋" w:eastAsia="仿宋" w:cs="仿宋"/>
          <w:color w:val="000000"/>
          <w:sz w:val="32"/>
          <w:szCs w:val="32"/>
          <w:u w:val="none"/>
          <w:lang w:val="en-US" w:eastAsia="zh-CN"/>
        </w:rPr>
        <w:t>1.营业执照、食品经营许可证及经营者身份证复印件，证明当事人的主体资格；</w:t>
      </w:r>
    </w:p>
    <w:p w14:paraId="5820284F">
      <w:pPr>
        <w:keepNext w:val="0"/>
        <w:keepLines w:val="0"/>
        <w:pageBreakBefore w:val="0"/>
        <w:widowControl w:val="0"/>
        <w:kinsoku/>
        <w:wordWrap/>
        <w:overflowPunct w:val="0"/>
        <w:topLinePunct w:val="0"/>
        <w:autoSpaceDE/>
        <w:autoSpaceDN/>
        <w:bidi w:val="0"/>
        <w:adjustRightInd/>
        <w:snapToGrid/>
        <w:spacing w:line="48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u w:val="none"/>
          <w:lang w:val="en-US" w:eastAsia="zh-CN"/>
        </w:rPr>
        <w:t>2.《现场笔录》《证据提取单》《询问笔录》，证明执法人员现场检查情况；3.《检定结果通知书》及送达回证，证明当事人使用不合格计量器具的违法行为。</w:t>
      </w:r>
    </w:p>
    <w:p w14:paraId="3FFF4CB5">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u w:val="none"/>
        </w:rPr>
        <w:t>调查取证过程中，当事人对我局执法人员的执法程序、现场检查及制作的文书没有异议，并在有关文书及书证、复印件上签字认可</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 w:hAnsi="仿宋" w:eastAsia="仿宋" w:cs="仿宋"/>
          <w:color w:val="000000"/>
          <w:sz w:val="32"/>
          <w:szCs w:val="32"/>
          <w:highlight w:val="none"/>
          <w:u w:val="none"/>
        </w:rPr>
        <w:t>202</w:t>
      </w:r>
      <w:r>
        <w:rPr>
          <w:rFonts w:hint="eastAsia" w:ascii="仿宋" w:hAnsi="仿宋" w:eastAsia="仿宋" w:cs="仿宋"/>
          <w:color w:val="000000"/>
          <w:sz w:val="32"/>
          <w:szCs w:val="32"/>
          <w:highlight w:val="none"/>
          <w:u w:val="none"/>
          <w:lang w:val="en-US"/>
        </w:rPr>
        <w:t>4</w:t>
      </w:r>
      <w:r>
        <w:rPr>
          <w:rFonts w:hint="eastAsia" w:ascii="仿宋" w:hAnsi="仿宋" w:eastAsia="仿宋" w:cs="仿宋"/>
          <w:color w:val="000000"/>
          <w:sz w:val="32"/>
          <w:szCs w:val="32"/>
          <w:highlight w:val="none"/>
          <w:u w:val="none"/>
        </w:rPr>
        <w:t>年</w:t>
      </w:r>
      <w:r>
        <w:rPr>
          <w:rFonts w:hint="eastAsia" w:ascii="仿宋" w:hAnsi="仿宋" w:eastAsia="仿宋" w:cs="仿宋"/>
          <w:color w:val="000000"/>
          <w:sz w:val="32"/>
          <w:szCs w:val="32"/>
          <w:highlight w:val="none"/>
          <w:u w:val="none"/>
          <w:lang w:val="en-US" w:eastAsia="zh-CN"/>
        </w:rPr>
        <w:t>11</w:t>
      </w:r>
      <w:r>
        <w:rPr>
          <w:rFonts w:hint="eastAsia" w:ascii="仿宋" w:hAnsi="仿宋" w:eastAsia="仿宋" w:cs="仿宋"/>
          <w:color w:val="000000"/>
          <w:sz w:val="32"/>
          <w:szCs w:val="32"/>
          <w:highlight w:val="none"/>
          <w:u w:val="none"/>
        </w:rPr>
        <w:t>月</w:t>
      </w:r>
      <w:r>
        <w:rPr>
          <w:rFonts w:hint="eastAsia" w:ascii="仿宋" w:hAnsi="仿宋" w:eastAsia="仿宋" w:cs="仿宋"/>
          <w:color w:val="000000"/>
          <w:sz w:val="32"/>
          <w:szCs w:val="32"/>
          <w:highlight w:val="none"/>
          <w:u w:val="none"/>
          <w:lang w:val="en-US" w:eastAsia="zh-CN"/>
        </w:rPr>
        <w:t>28</w:t>
      </w:r>
      <w:r>
        <w:rPr>
          <w:rFonts w:hint="eastAsia" w:ascii="仿宋" w:hAnsi="仿宋" w:eastAsia="仿宋" w:cs="仿宋"/>
          <w:color w:val="000000"/>
          <w:sz w:val="32"/>
          <w:szCs w:val="32"/>
          <w:highlight w:val="none"/>
          <w:u w:val="none"/>
        </w:rPr>
        <w:t>日</w:t>
      </w: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sz w:val="32"/>
          <w:szCs w:val="32"/>
          <w:u w:val="none"/>
        </w:rPr>
        <w:t>我局向当事人送达了《行政处罚告知书》（柳南市监处告〔202</w:t>
      </w:r>
      <w:r>
        <w:rPr>
          <w:rFonts w:hint="eastAsia"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297</w:t>
      </w:r>
      <w:r>
        <w:rPr>
          <w:rFonts w:hint="eastAsia" w:ascii="仿宋" w:hAnsi="仿宋" w:eastAsia="仿宋" w:cs="仿宋"/>
          <w:color w:val="000000"/>
          <w:sz w:val="32"/>
          <w:szCs w:val="32"/>
          <w:u w:val="none"/>
        </w:rPr>
        <w:t>号）。当事人自收到该告知书之日起五个工作日内，未行使陈述、申辩权，视为放弃该权利。</w:t>
      </w:r>
    </w:p>
    <w:p w14:paraId="72662FBC">
      <w:pPr>
        <w:keepNext w:val="0"/>
        <w:keepLines w:val="0"/>
        <w:pageBreakBefore w:val="0"/>
        <w:widowControl w:val="0"/>
        <w:tabs>
          <w:tab w:val="left" w:pos="681"/>
        </w:tabs>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u w:val="none"/>
          <w:lang w:val="en-US" w:eastAsia="zh-CN"/>
        </w:rPr>
        <w:t>当事人使用不合格的计量器具之行为，</w:t>
      </w:r>
      <w:r>
        <w:rPr>
          <w:rFonts w:hint="eastAsia" w:ascii="仿宋" w:hAnsi="仿宋" w:eastAsia="仿宋" w:cs="仿宋"/>
          <w:color w:val="000000"/>
          <w:sz w:val="32"/>
          <w:szCs w:val="32"/>
          <w:u w:val="none"/>
          <w:lang w:eastAsia="zh-CN"/>
        </w:rPr>
        <w:t>违反了《集贸市场计量监督管理办法》第六条第（三）项的规定，根据《集贸市场计量监督管理办法》第十二条第二款的规定，</w:t>
      </w:r>
      <w:r>
        <w:rPr>
          <w:rFonts w:hint="eastAsia" w:ascii="仿宋" w:hAnsi="仿宋" w:eastAsia="仿宋" w:cs="仿宋"/>
          <w:color w:val="000000"/>
          <w:kern w:val="2"/>
          <w:sz w:val="32"/>
          <w:szCs w:val="32"/>
          <w:u w:val="none"/>
          <w:lang w:val="en-US" w:eastAsia="zh-CN" w:bidi="ar-SA"/>
        </w:rPr>
        <w:t>并参照</w:t>
      </w:r>
      <w:r>
        <w:rPr>
          <w:rFonts w:hint="eastAsia" w:ascii="仿宋" w:hAnsi="仿宋" w:eastAsia="仿宋" w:cs="仿宋"/>
          <w:b w:val="0"/>
          <w:bCs/>
          <w:color w:val="000000"/>
          <w:sz w:val="32"/>
          <w:szCs w:val="32"/>
          <w:u w:val="none"/>
          <w:lang w:val="en-US" w:eastAsia="zh-CN"/>
        </w:rPr>
        <w:t>《</w:t>
      </w:r>
      <w:r>
        <w:rPr>
          <w:rFonts w:hint="eastAsia" w:ascii="仿宋" w:hAnsi="仿宋" w:eastAsia="仿宋" w:cs="仿宋"/>
          <w:b w:val="0"/>
          <w:bCs w:val="0"/>
          <w:color w:val="000000"/>
          <w:kern w:val="0"/>
          <w:sz w:val="32"/>
          <w:szCs w:val="32"/>
          <w:highlight w:val="none"/>
          <w:u w:val="none"/>
        </w:rPr>
        <w:t>广西壮族自治区市场监督管理行政处罚裁量权适用规定</w:t>
      </w:r>
      <w:r>
        <w:rPr>
          <w:rFonts w:hint="eastAsia" w:ascii="仿宋" w:hAnsi="仿宋" w:eastAsia="仿宋" w:cs="仿宋"/>
          <w:b w:val="0"/>
          <w:bCs/>
          <w:color w:val="000000"/>
          <w:sz w:val="32"/>
          <w:szCs w:val="32"/>
          <w:u w:val="none"/>
          <w:lang w:val="en-US" w:eastAsia="zh-CN"/>
        </w:rPr>
        <w:t>》第十五条第一款的规定，我局</w:t>
      </w:r>
      <w:r>
        <w:rPr>
          <w:rFonts w:hint="eastAsia" w:ascii="仿宋" w:hAnsi="仿宋" w:eastAsia="仿宋" w:cs="仿宋"/>
          <w:color w:val="000000"/>
          <w:sz w:val="32"/>
          <w:szCs w:val="32"/>
          <w:u w:val="none"/>
        </w:rPr>
        <w:t>责令当事人停止</w:t>
      </w:r>
      <w:r>
        <w:rPr>
          <w:rFonts w:hint="eastAsia" w:ascii="仿宋" w:hAnsi="仿宋" w:eastAsia="仿宋" w:cs="仿宋"/>
          <w:color w:val="000000"/>
          <w:sz w:val="32"/>
          <w:szCs w:val="32"/>
          <w:u w:val="none"/>
          <w:lang w:eastAsia="zh-CN"/>
        </w:rPr>
        <w:t>使用不合格的电子计价秤用于贸易结算的</w:t>
      </w:r>
      <w:r>
        <w:rPr>
          <w:rFonts w:hint="eastAsia" w:ascii="仿宋" w:hAnsi="仿宋" w:eastAsia="仿宋" w:cs="仿宋"/>
          <w:color w:val="000000"/>
          <w:sz w:val="32"/>
          <w:szCs w:val="32"/>
          <w:u w:val="none"/>
        </w:rPr>
        <w:t>行为</w:t>
      </w:r>
      <w:r>
        <w:rPr>
          <w:rFonts w:hint="eastAsia" w:ascii="仿宋" w:hAnsi="仿宋" w:eastAsia="仿宋" w:cs="仿宋"/>
          <w:color w:val="000000"/>
          <w:sz w:val="32"/>
          <w:szCs w:val="32"/>
          <w:u w:val="none"/>
          <w:lang w:eastAsia="zh-CN"/>
        </w:rPr>
        <w:t>，并</w:t>
      </w:r>
      <w:r>
        <w:rPr>
          <w:rFonts w:hint="eastAsia" w:ascii="仿宋" w:hAnsi="仿宋" w:eastAsia="仿宋" w:cs="仿宋"/>
          <w:bCs/>
          <w:color w:val="000000"/>
          <w:sz w:val="32"/>
          <w:szCs w:val="32"/>
          <w:u w:val="none"/>
          <w:lang w:eastAsia="zh-CN"/>
        </w:rPr>
        <w:t>决定对当事人作如下行政处罚：</w:t>
      </w:r>
      <w:r>
        <w:rPr>
          <w:rFonts w:hint="eastAsia" w:ascii="仿宋" w:hAnsi="仿宋" w:eastAsia="仿宋" w:cs="仿宋"/>
          <w:color w:val="000000"/>
          <w:kern w:val="0"/>
          <w:sz w:val="32"/>
          <w:szCs w:val="32"/>
          <w:u w:val="none"/>
          <w:shd w:val="clear" w:fill="FFFFFF"/>
          <w:lang w:val="en-US" w:eastAsia="zh-CN" w:bidi="ar"/>
        </w:rPr>
        <w:t>1.没收不合格电子计价秤1台；2.</w:t>
      </w:r>
      <w:r>
        <w:rPr>
          <w:rFonts w:hint="eastAsia" w:ascii="仿宋" w:hAnsi="仿宋" w:eastAsia="仿宋" w:cs="仿宋"/>
          <w:color w:val="000000"/>
          <w:sz w:val="32"/>
          <w:szCs w:val="32"/>
          <w:u w:val="none"/>
          <w:lang w:eastAsia="zh-CN"/>
        </w:rPr>
        <w:t>罚款</w:t>
      </w:r>
      <w:r>
        <w:rPr>
          <w:rFonts w:hint="eastAsia" w:ascii="仿宋" w:hAnsi="仿宋" w:eastAsia="仿宋" w:cs="仿宋"/>
          <w:color w:val="000000"/>
          <w:sz w:val="32"/>
          <w:szCs w:val="32"/>
          <w:u w:val="none"/>
          <w:lang w:val="en-US" w:eastAsia="zh-CN"/>
        </w:rPr>
        <w:t>1000元。</w:t>
      </w:r>
    </w:p>
    <w:p w14:paraId="2865CEB1">
      <w:pPr>
        <w:keepNext w:val="0"/>
        <w:keepLines w:val="0"/>
        <w:pageBreakBefore w:val="0"/>
        <w:widowControl w:val="0"/>
        <w:tabs>
          <w:tab w:val="left" w:pos="681"/>
        </w:tabs>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000000"/>
          <w:sz w:val="32"/>
          <w:szCs w:val="32"/>
          <w:u w:val="none"/>
        </w:rPr>
        <w:t>当事人应当自收到本行政处罚决定书之日起十五日内到我局（地址：柳州潭中西路68号柳南建设大楼）开具《广西壮族自治区非税收入电子缴款通知书》后，将罚没款缴至中国建设银行。逾期不缴纳罚款的，依据《中华人民共和国行政处罚法》第七十二条的规定，我局将每日按罚款数额的百分之三加处罚款，加处罚款的数额不超出罚款的数额，并依法申请人民法院强制执行。</w:t>
      </w:r>
    </w:p>
    <w:p w14:paraId="7E8275F4">
      <w:pPr>
        <w:keepNext w:val="0"/>
        <w:keepLines w:val="0"/>
        <w:pageBreakBefore w:val="0"/>
        <w:widowControl w:val="0"/>
        <w:tabs>
          <w:tab w:val="left" w:pos="681"/>
        </w:tabs>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000000"/>
          <w:sz w:val="32"/>
          <w:szCs w:val="32"/>
          <w:u w:val="none"/>
        </w:rPr>
        <w:t>如当事人不服本处罚决定，可以在收到本行政处罚决定书之日起六十日内向柳州市柳南区人民政府申请行政复议；也可以在六个月内依法向柳州市柳北区人民法院或依法向有管辖权限的人民法院提起诉讼。申请行政复议或者提起诉讼期间，行政处罚不停止执行。</w:t>
      </w:r>
    </w:p>
    <w:p w14:paraId="76DB1707">
      <w:pPr>
        <w:widowControl/>
        <w:snapToGrid w:val="0"/>
        <w:spacing w:line="520" w:lineRule="exact"/>
        <w:jc w:val="left"/>
        <w:rPr>
          <w:rFonts w:ascii="Times New Roman" w:hAnsi="Times New Roman" w:eastAsia="仿宋_GB2312" w:cs="仿宋_GB2312"/>
          <w:color w:val="auto"/>
          <w:sz w:val="32"/>
          <w:szCs w:val="32"/>
        </w:rPr>
      </w:pPr>
    </w:p>
    <w:p w14:paraId="37C87EF7">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18EFAED3">
      <w:pPr>
        <w:spacing w:line="560" w:lineRule="exact"/>
        <w:ind w:right="640" w:firstLine="601"/>
        <w:jc w:val="right"/>
        <w:rPr>
          <w:rFonts w:ascii="Times New Roman" w:hAnsi="Times New Roman" w:eastAsia="仿宋_GB2312" w:cs="仿宋"/>
          <w:color w:val="auto"/>
          <w:sz w:val="32"/>
          <w:szCs w:val="32"/>
        </w:rPr>
      </w:pPr>
      <w:bookmarkStart w:id="9" w:name="DYNAMIC—DWXX—tAj_dwmc—2"/>
      <w:r>
        <w:rPr>
          <w:rFonts w:hint="eastAsia" w:ascii="Times New Roman" w:hAnsi="Times New Roman" w:eastAsia="仿宋_GB2312" w:cs="仿宋"/>
          <w:color w:val="000000"/>
          <w:sz w:val="32"/>
          <w:u w:val="none"/>
          <w:lang w:eastAsia="zh-CN"/>
        </w:rPr>
        <w:t>柳州市</w:t>
      </w:r>
      <w:r>
        <w:rPr>
          <w:rFonts w:hint="eastAsia" w:ascii="Times New Roman" w:hAnsi="Times New Roman" w:eastAsia="仿宋_GB2312" w:cs="仿宋"/>
          <w:color w:val="000000"/>
          <w:sz w:val="32"/>
          <w:u w:val="none"/>
        </w:rPr>
        <w:t>柳南区市场监督管理局</w:t>
      </w:r>
      <w:bookmarkEnd w:id="9"/>
      <w:r>
        <w:rPr>
          <w:rFonts w:hint="eastAsia" w:ascii="Times New Roman" w:hAnsi="Times New Roman" w:eastAsia="仿宋_GB2312" w:cs="仿宋"/>
          <w:color w:val="000000"/>
          <w:sz w:val="32"/>
          <w:szCs w:val="32"/>
          <w:u w:val="none"/>
        </w:rPr>
        <w:t xml:space="preserve">    </w:t>
      </w:r>
    </w:p>
    <w:p w14:paraId="40D76967">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0" w:name="CALCULATE—TIME—NOW"/>
      <w:r>
        <w:rPr>
          <w:rFonts w:ascii="仿宋_GB2312" w:hAnsi="仿宋_GB2312" w:eastAsia="仿宋_GB2312" w:cs="仿宋_GB2312"/>
          <w:sz w:val="32"/>
        </w:rPr>
        <w:t>2024年12月06日</w:t>
      </w:r>
      <w:bookmarkEnd w:id="10"/>
      <w:r>
        <w:rPr>
          <w:rFonts w:hint="eastAsia" w:ascii="Times New Roman" w:hAnsi="Times New Roman" w:eastAsia="仿宋_GB2312" w:cs="仿宋_GB2312"/>
          <w:color w:val="000000"/>
          <w:sz w:val="32"/>
          <w:szCs w:val="32"/>
          <w:u w:val="none"/>
        </w:rPr>
        <w:t xml:space="preserve">  </w:t>
      </w:r>
    </w:p>
    <w:p w14:paraId="446763D3">
      <w:pPr>
        <w:widowControl/>
        <w:snapToGrid w:val="0"/>
        <w:spacing w:line="520" w:lineRule="exact"/>
        <w:jc w:val="right"/>
        <w:rPr>
          <w:rFonts w:ascii="Times New Roman" w:hAnsi="Times New Roman" w:eastAsia="仿宋_GB2312" w:cs="Mongolian Baiti"/>
          <w:color w:val="auto"/>
          <w:sz w:val="32"/>
          <w:szCs w:val="32"/>
        </w:rPr>
      </w:pPr>
    </w:p>
    <w:p w14:paraId="742BB3A9">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32D34AAB">
      <w:pPr>
        <w:spacing w:line="500" w:lineRule="exact"/>
        <w:rPr>
          <w:color w:val="auto"/>
        </w:rPr>
      </w:pP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两</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81B6EB-1256-4ECB-8A8A-A078D56FFE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2" w:fontKey="{EE329905-E530-42F3-A0B5-4B4A211F7443}"/>
  </w:font>
  <w:font w:name="方正小标宋_GBK">
    <w:panose1 w:val="02000000000000000000"/>
    <w:charset w:val="86"/>
    <w:family w:val="auto"/>
    <w:pitch w:val="default"/>
    <w:sig w:usb0="A00002BF" w:usb1="38CF7CFA" w:usb2="00082016" w:usb3="00000000" w:csb0="00040001" w:csb1="00000000"/>
    <w:embedRegular r:id="rId3" w:fontKey="{3235DB3B-7F27-4C8A-B2D5-293038344185}"/>
  </w:font>
  <w:font w:name="仿宋_GB2312">
    <w:altName w:val="仿宋"/>
    <w:panose1 w:val="02010609030101010101"/>
    <w:charset w:val="86"/>
    <w:family w:val="modern"/>
    <w:pitch w:val="default"/>
    <w:sig w:usb0="00000000" w:usb1="00000000" w:usb2="00000000" w:usb3="00000000" w:csb0="00040000" w:csb1="00000000"/>
    <w:embedRegular r:id="rId4" w:fontKey="{9D9094A5-3EFA-4D6F-BB81-EE706454BE60}"/>
  </w:font>
  <w:font w:name="Mongolian Baiti">
    <w:panose1 w:val="03000500000000000000"/>
    <w:charset w:val="00"/>
    <w:family w:val="script"/>
    <w:pitch w:val="default"/>
    <w:sig w:usb0="80000023" w:usb1="00000000" w:usb2="00020000" w:usb3="00000000" w:csb0="00000001" w:csb1="00000000"/>
    <w:embedRegular r:id="rId5" w:fontKey="{C93CCA59-3050-4F75-AE89-4F762C7C2CE9}"/>
  </w:font>
  <w:font w:name="微软雅黑">
    <w:panose1 w:val="020B0503020204020204"/>
    <w:charset w:val="86"/>
    <w:family w:val="auto"/>
    <w:pitch w:val="default"/>
    <w:sig w:usb0="80000287" w:usb1="2ACF3C50" w:usb2="00000016" w:usb3="00000000" w:csb0="0004001F" w:csb1="00000000"/>
    <w:embedRegular r:id="rId6" w:fontKey="{6E1C0BD8-70F9-408E-AFE5-81D531EED2FA}"/>
  </w:font>
  <w:font w:name="方正仿宋_GBK">
    <w:panose1 w:val="02000000000000000000"/>
    <w:charset w:val="86"/>
    <w:family w:val="auto"/>
    <w:pitch w:val="default"/>
    <w:sig w:usb0="A00002BF" w:usb1="38CF7CFA" w:usb2="00082016" w:usb3="00000000" w:csb0="00040001" w:csb1="00000000"/>
    <w:embedRegular r:id="rId7" w:fontKey="{A4FB4DAE-C679-4BB5-B15B-782A7C85B95D}"/>
  </w:font>
  <w:font w:name="仿宋">
    <w:panose1 w:val="02010609060101010101"/>
    <w:charset w:val="86"/>
    <w:family w:val="auto"/>
    <w:pitch w:val="default"/>
    <w:sig w:usb0="800002BF" w:usb1="38CF7CFA" w:usb2="00000016" w:usb3="00000000" w:csb0="00040001" w:csb1="00000000"/>
    <w:embedRegular r:id="rId8" w:fontKey="{36498160-6885-4DFB-936C-9AC39D82923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2E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ADFE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AADFE0">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4CD463F"/>
    <w:rsid w:val="04FA4431"/>
    <w:rsid w:val="062E1218"/>
    <w:rsid w:val="06BAE61F"/>
    <w:rsid w:val="071C7669"/>
    <w:rsid w:val="0776795A"/>
    <w:rsid w:val="07C21FD5"/>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8B841F0"/>
    <w:rsid w:val="19FE4517"/>
    <w:rsid w:val="1BC65F68"/>
    <w:rsid w:val="1E2525B5"/>
    <w:rsid w:val="1F2B5D07"/>
    <w:rsid w:val="1FD31F15"/>
    <w:rsid w:val="24626694"/>
    <w:rsid w:val="24E75A37"/>
    <w:rsid w:val="258D6CE0"/>
    <w:rsid w:val="283004FB"/>
    <w:rsid w:val="2A9F8649"/>
    <w:rsid w:val="2B1B3EFC"/>
    <w:rsid w:val="2CEA3815"/>
    <w:rsid w:val="2DE10173"/>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AD7030F"/>
    <w:rsid w:val="6BCC1BB9"/>
    <w:rsid w:val="6D923254"/>
    <w:rsid w:val="6E04767D"/>
    <w:rsid w:val="6E6950E9"/>
    <w:rsid w:val="6F732ABB"/>
    <w:rsid w:val="6FF58B64"/>
    <w:rsid w:val="6FF8F863"/>
    <w:rsid w:val="70CF02CA"/>
    <w:rsid w:val="71013020"/>
    <w:rsid w:val="7376089F"/>
    <w:rsid w:val="73AB35E9"/>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1661</Words>
  <Characters>1865</Characters>
  <Lines>0</Lines>
  <Paragraphs>0</Paragraphs>
  <TotalTime>0</TotalTime>
  <ScaleCrop>false</ScaleCrop>
  <LinksUpToDate>false</LinksUpToDate>
  <CharactersWithSpaces>2084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Rancho</cp:lastModifiedBy>
  <dcterms:modified xsi:type="dcterms:W3CDTF">2025-02-11T03:30:09Z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526F4C53292B48849053E71A59849707</vt:lpwstr>
  </property>
  <property fmtid="{D5CDD505-2E9C-101B-9397-08002B2CF9AE}" pid="4" name="KSOTemplateDocerSaveRecord">
    <vt:lpwstr>eyJoZGlkIjoiNGJjMTQ3MjlhOTIzYzA2NWY1OTQ3ODRjNDEzZWExZGMiLCJ1c2VySWQiOiI1NTk4NDAzOTcifQ==</vt:lpwstr>
  </property>
</Properties>
</file>