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8B643">
      <w:pPr>
        <w:spacing w:line="600" w:lineRule="exact"/>
        <w:jc w:val="center"/>
        <w:rPr>
          <w:rFonts w:hint="default" w:ascii="Times New Roman" w:hAnsi="Times New Roman" w:eastAsia="方正小标宋简体" w:cs="Times New Roman"/>
          <w:b/>
          <w:bCs/>
          <w:sz w:val="44"/>
          <w:szCs w:val="44"/>
          <w:highlight w:val="none"/>
        </w:rPr>
      </w:pPr>
    </w:p>
    <w:p w14:paraId="0F1E2A42">
      <w:pPr>
        <w:spacing w:line="600" w:lineRule="exact"/>
        <w:jc w:val="center"/>
        <w:rPr>
          <w:rFonts w:hint="default" w:ascii="Times New Roman" w:hAnsi="Times New Roman" w:eastAsia="仿宋" w:cs="Times New Roman"/>
          <w:b/>
          <w:bCs/>
          <w:sz w:val="32"/>
          <w:highlight w:val="none"/>
          <w:u w:val="single"/>
        </w:rPr>
      </w:pPr>
    </w:p>
    <w:p w14:paraId="0601DE1D">
      <w:pPr>
        <w:spacing w:line="600" w:lineRule="exact"/>
        <w:jc w:val="center"/>
        <w:rPr>
          <w:rFonts w:hint="default" w:ascii="Times New Roman" w:hAnsi="Times New Roman" w:eastAsia="仿宋" w:cs="Times New Roman"/>
          <w:sz w:val="32"/>
          <w:highlight w:val="none"/>
        </w:rPr>
      </w:pPr>
    </w:p>
    <w:p w14:paraId="5FC9CED1">
      <w:pPr>
        <w:spacing w:line="600" w:lineRule="exact"/>
        <w:rPr>
          <w:rFonts w:hint="default" w:ascii="Times New Roman" w:hAnsi="Times New Roman" w:eastAsia="仿宋" w:cs="Times New Roman"/>
          <w:sz w:val="32"/>
          <w:highlight w:val="none"/>
        </w:rPr>
      </w:pPr>
    </w:p>
    <w:p w14:paraId="5303FEEC">
      <w:pPr>
        <w:spacing w:line="600" w:lineRule="exact"/>
        <w:jc w:val="center"/>
        <w:rPr>
          <w:rFonts w:hint="default" w:ascii="Times New Roman" w:hAnsi="Times New Roman" w:eastAsia="仿宋" w:cs="Times New Roman"/>
          <w:sz w:val="32"/>
          <w:highlight w:val="none"/>
        </w:rPr>
      </w:pPr>
      <w:r>
        <w:rPr>
          <w:rFonts w:hint="default" w:ascii="Times New Roman" w:hAnsi="Times New Roman" w:eastAsia="仿宋" w:cs="Times New Roman"/>
          <w:sz w:val="32"/>
          <w:highlight w:val="none"/>
        </w:rPr>
        <w:t>柳南审环审字〔20</w:t>
      </w:r>
      <w:r>
        <w:rPr>
          <w:rFonts w:hint="default" w:ascii="Times New Roman" w:hAnsi="Times New Roman" w:eastAsia="仿宋" w:cs="Times New Roman"/>
          <w:sz w:val="32"/>
          <w:highlight w:val="none"/>
          <w:lang w:val="en-US" w:eastAsia="zh-CN"/>
        </w:rPr>
        <w:t>25</w:t>
      </w:r>
      <w:r>
        <w:rPr>
          <w:rFonts w:hint="default" w:ascii="Times New Roman" w:hAnsi="Times New Roman" w:eastAsia="仿宋" w:cs="Times New Roman"/>
          <w:sz w:val="32"/>
          <w:highlight w:val="none"/>
        </w:rPr>
        <w:t>〕</w:t>
      </w:r>
      <w:r>
        <w:rPr>
          <w:rFonts w:hint="default" w:ascii="Times New Roman" w:hAnsi="Times New Roman" w:eastAsia="仿宋" w:cs="Times New Roman"/>
          <w:sz w:val="32"/>
          <w:highlight w:val="none"/>
          <w:lang w:val="en-US" w:eastAsia="zh-CN"/>
        </w:rPr>
        <w:t>1</w:t>
      </w:r>
      <w:r>
        <w:rPr>
          <w:rFonts w:hint="eastAsia" w:eastAsia="仿宋" w:cs="Times New Roman"/>
          <w:sz w:val="32"/>
          <w:highlight w:val="none"/>
          <w:lang w:val="en-US" w:eastAsia="zh-CN"/>
        </w:rPr>
        <w:t>5</w:t>
      </w:r>
      <w:r>
        <w:rPr>
          <w:rFonts w:hint="default" w:ascii="Times New Roman" w:hAnsi="Times New Roman" w:eastAsia="仿宋" w:cs="Times New Roman"/>
          <w:sz w:val="32"/>
          <w:highlight w:val="none"/>
        </w:rPr>
        <w:t>号</w:t>
      </w:r>
    </w:p>
    <w:p w14:paraId="2F6DD888">
      <w:pPr>
        <w:pStyle w:val="15"/>
        <w:spacing w:line="540" w:lineRule="exact"/>
        <w:rPr>
          <w:rFonts w:hint="eastAsia" w:cs="Times New Roman"/>
          <w:sz w:val="28"/>
          <w:highlight w:val="none"/>
          <w:lang w:val="en-US" w:eastAsia="zh-CN"/>
        </w:rPr>
      </w:pPr>
      <w:r>
        <w:rPr>
          <w:rFonts w:hint="default" w:ascii="Times New Roman" w:hAnsi="Times New Roman" w:cs="Times New Roman"/>
          <w:sz w:val="28"/>
          <w:highlight w:val="none"/>
        </w:rPr>
        <mc:AlternateContent>
          <mc:Choice Requires="wps">
            <w:drawing>
              <wp:anchor distT="0" distB="0" distL="114300" distR="114300" simplePos="0" relativeHeight="251659264" behindDoc="0" locked="0" layoutInCell="1" allowOverlap="1">
                <wp:simplePos x="0" y="0"/>
                <wp:positionH relativeFrom="column">
                  <wp:posOffset>-367030</wp:posOffset>
                </wp:positionH>
                <wp:positionV relativeFrom="paragraph">
                  <wp:posOffset>39370</wp:posOffset>
                </wp:positionV>
                <wp:extent cx="6369050" cy="0"/>
                <wp:effectExtent l="0" t="9525" r="12700" b="9525"/>
                <wp:wrapNone/>
                <wp:docPr id="1" name="直接连接符 1"/>
                <wp:cNvGraphicFramePr/>
                <a:graphic xmlns:a="http://schemas.openxmlformats.org/drawingml/2006/main">
                  <a:graphicData uri="http://schemas.microsoft.com/office/word/2010/wordprocessingShape">
                    <wps:wsp>
                      <wps:cNvCnPr/>
                      <wps:spPr>
                        <a:xfrm>
                          <a:off x="1184910" y="2744470"/>
                          <a:ext cx="5133975" cy="0"/>
                        </a:xfrm>
                        <a:prstGeom prst="line">
                          <a:avLst/>
                        </a:prstGeom>
                        <a:noFill/>
                        <a:ln w="19050" cap="flat" cmpd="sng" algn="ctr">
                          <a:solidFill>
                            <a:srgbClr val="FF0000"/>
                          </a:solidFill>
                          <a:prstDash val="solid"/>
                          <a:miter lim="800000"/>
                        </a:ln>
                        <a:effectLst/>
                      </wps:spPr>
                      <wps:bodyPr/>
                    </wps:wsp>
                  </a:graphicData>
                </a:graphic>
              </wp:anchor>
            </w:drawing>
          </mc:Choice>
          <mc:Fallback>
            <w:pict>
              <v:line id="_x0000_s1026" o:spid="_x0000_s1026" o:spt="20" style="position:absolute;left:0pt;margin-left:-28.9pt;margin-top:3.1pt;height:0pt;width:501.5pt;z-index:251659264;mso-width-relative:page;mso-height-relative:page;" filled="f" stroked="t" coordsize="21600,21600" o:gfxdata="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SlKdMAAAAHAQAADwAAAAAAAAABACAAAAAiAAAAZHJzL2Rvd25yZXYueG1sUEsB&#10;AhQAFAAAAAgAh07iQBI0mFj6AQAAzAMAAA4AAAAAAAAAAQAgAAAAIgEAAGRycy9lMm9Eb2MueG1s&#10;UEsFBgAAAAAGAAYAWQEAAI4FAAAAAA==&#10;">
                <v:fill on="f" focussize="0,0"/>
                <v:stroke weight="1.5pt" color="#FF0000" miterlimit="8" joinstyle="miter"/>
                <v:imagedata o:title=""/>
                <o:lock v:ext="edit" aspectratio="f"/>
              </v:line>
            </w:pict>
          </mc:Fallback>
        </mc:AlternateContent>
      </w:r>
      <w:r>
        <w:rPr>
          <w:rFonts w:hint="eastAsia" w:cs="Times New Roman"/>
          <w:sz w:val="28"/>
          <w:highlight w:val="none"/>
          <w:lang w:val="en-US" w:eastAsia="zh-CN"/>
        </w:rPr>
        <w:t xml:space="preserve"> </w:t>
      </w:r>
    </w:p>
    <w:p w14:paraId="0BA83C51">
      <w:pPr>
        <w:pStyle w:val="15"/>
        <w:spacing w:line="540" w:lineRule="exact"/>
        <w:jc w:val="center"/>
        <w:rPr>
          <w:rFonts w:hint="default" w:ascii="Times New Roman" w:hAnsi="Times New Roman" w:eastAsia="方正小标宋简体" w:cs="Times New Roman"/>
          <w:b w:val="0"/>
          <w:bCs w:val="0"/>
          <w:sz w:val="36"/>
          <w:szCs w:val="36"/>
          <w:highlight w:val="none"/>
          <w:u w:val="none"/>
        </w:rPr>
      </w:pPr>
      <w:r>
        <w:rPr>
          <w:rFonts w:hint="eastAsia" w:eastAsia="方正小标宋简体" w:cs="Times New Roman"/>
          <w:b w:val="0"/>
          <w:bCs w:val="0"/>
          <w:sz w:val="36"/>
          <w:szCs w:val="36"/>
          <w:highlight w:val="none"/>
          <w:u w:val="none"/>
          <w:lang w:val="en-US" w:eastAsia="zh-CN"/>
        </w:rPr>
        <w:t>广西危险废物收运“一张网”建设项目柳州市柳南区收集点</w:t>
      </w:r>
      <w:r>
        <w:rPr>
          <w:rFonts w:hint="default" w:ascii="Times New Roman" w:hAnsi="Times New Roman" w:eastAsia="方正小标宋简体" w:cs="Times New Roman"/>
          <w:b w:val="0"/>
          <w:bCs w:val="0"/>
          <w:sz w:val="36"/>
          <w:szCs w:val="36"/>
          <w:highlight w:val="none"/>
          <w:u w:val="none"/>
        </w:rPr>
        <w:t>环境影响报告表的批复</w:t>
      </w:r>
    </w:p>
    <w:p w14:paraId="4E8B337B">
      <w:pPr>
        <w:keepNext w:val="0"/>
        <w:keepLines w:val="0"/>
        <w:pageBreakBefore w:val="0"/>
        <w:widowControl w:val="0"/>
        <w:shd w:val="clear" w:color="auto" w:fill="auto"/>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方正小标宋简体" w:cs="Times New Roman"/>
          <w:b w:val="0"/>
          <w:bCs w:val="0"/>
          <w:sz w:val="36"/>
          <w:szCs w:val="36"/>
          <w:highlight w:val="none"/>
          <w:u w:val="none"/>
        </w:rPr>
      </w:pPr>
    </w:p>
    <w:p w14:paraId="67E7C331">
      <w:pPr>
        <w:keepNext w:val="0"/>
        <w:keepLines w:val="0"/>
        <w:pageBreakBefore w:val="0"/>
        <w:widowControl w:val="0"/>
        <w:kinsoku/>
        <w:wordWrap/>
        <w:overflowPunct/>
        <w:topLinePunct w:val="0"/>
        <w:autoSpaceDE/>
        <w:autoSpaceDN/>
        <w:bidi w:val="0"/>
        <w:adjustRightInd/>
        <w:snapToGrid/>
        <w:spacing w:line="490" w:lineRule="exact"/>
        <w:textAlignment w:val="auto"/>
        <w:rPr>
          <w:rFonts w:hint="default" w:ascii="Times New Roman" w:hAnsi="Times New Roman" w:eastAsia="仿宋_GB2312" w:cs="Times New Roman"/>
          <w:sz w:val="32"/>
          <w:szCs w:val="32"/>
          <w:highlight w:val="none"/>
          <w:u w:val="none" w:color="auto"/>
        </w:rPr>
      </w:pPr>
      <w:r>
        <w:rPr>
          <w:rFonts w:hint="eastAsia" w:eastAsia="仿宋_GB2312" w:cs="Times New Roman"/>
          <w:sz w:val="32"/>
          <w:szCs w:val="32"/>
          <w:highlight w:val="none"/>
          <w:u w:val="none"/>
          <w:lang w:val="en-US" w:eastAsia="zh-CN"/>
        </w:rPr>
        <w:t>广西博宇生态环境有限公司</w:t>
      </w:r>
      <w:r>
        <w:rPr>
          <w:rFonts w:hint="default" w:ascii="Times New Roman" w:hAnsi="Times New Roman" w:eastAsia="仿宋_GB2312" w:cs="Times New Roman"/>
          <w:sz w:val="32"/>
          <w:szCs w:val="32"/>
          <w:highlight w:val="none"/>
          <w:u w:val="none" w:color="auto"/>
        </w:rPr>
        <w:t>：</w:t>
      </w:r>
    </w:p>
    <w:p w14:paraId="32928116">
      <w:pPr>
        <w:keepNext w:val="0"/>
        <w:keepLines w:val="0"/>
        <w:pageBreakBefore w:val="0"/>
        <w:widowControl w:val="0"/>
        <w:kinsoku/>
        <w:wordWrap/>
        <w:overflowPunct/>
        <w:topLinePunct w:val="0"/>
        <w:autoSpaceDE/>
        <w:autoSpaceDN/>
        <w:bidi w:val="0"/>
        <w:adjustRightInd w:val="0"/>
        <w:snapToGrid w:val="0"/>
        <w:spacing w:line="490" w:lineRule="exact"/>
        <w:ind w:firstLine="640" w:firstLineChars="200"/>
        <w:textAlignment w:val="auto"/>
        <w:rPr>
          <w:rFonts w:hint="default" w:ascii="Times New Roman" w:hAnsi="Times New Roman" w:eastAsia="仿宋_GB2312" w:cs="Times New Roman"/>
          <w:sz w:val="32"/>
          <w:szCs w:val="32"/>
          <w:highlight w:val="none"/>
          <w:u w:val="none" w:color="auto"/>
        </w:rPr>
      </w:pPr>
      <w:r>
        <w:rPr>
          <w:rFonts w:hint="default" w:ascii="Times New Roman" w:hAnsi="Times New Roman" w:eastAsia="仿宋_GB2312" w:cs="Times New Roman"/>
          <w:sz w:val="32"/>
          <w:szCs w:val="32"/>
          <w:highlight w:val="none"/>
          <w:u w:val="none" w:color="auto"/>
        </w:rPr>
        <w:t>你单位报来《</w:t>
      </w:r>
      <w:r>
        <w:rPr>
          <w:rFonts w:hint="eastAsia" w:eastAsia="仿宋_GB2312" w:cs="Times New Roman"/>
          <w:sz w:val="32"/>
          <w:szCs w:val="32"/>
          <w:highlight w:val="none"/>
          <w:u w:val="none" w:color="auto"/>
          <w:lang w:val="en-US" w:eastAsia="zh-CN"/>
        </w:rPr>
        <w:t>广西危险废物收运“一张网”建设项目柳州市柳南区收集点</w:t>
      </w:r>
      <w:r>
        <w:rPr>
          <w:rFonts w:hint="default" w:ascii="Times New Roman" w:hAnsi="Times New Roman" w:eastAsia="仿宋_GB2312" w:cs="Times New Roman"/>
          <w:sz w:val="32"/>
          <w:szCs w:val="32"/>
          <w:highlight w:val="none"/>
          <w:u w:val="none" w:color="auto"/>
        </w:rPr>
        <w:t>环境影响报告表》（以下简称《报告表》）及相关材料收悉。经我局审核，现批复如下：</w:t>
      </w:r>
    </w:p>
    <w:p w14:paraId="61252AB4">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Times New Roman" w:hAnsi="Times New Roman" w:eastAsia="仿宋_GB2312" w:cs="Times New Roman"/>
          <w:sz w:val="32"/>
          <w:szCs w:val="32"/>
          <w:highlight w:val="none"/>
          <w:u w:val="none" w:color="auto"/>
        </w:rPr>
      </w:pPr>
      <w:r>
        <w:rPr>
          <w:rFonts w:hint="default" w:ascii="Times New Roman" w:hAnsi="Times New Roman" w:eastAsia="仿宋_GB2312" w:cs="Times New Roman"/>
          <w:sz w:val="32"/>
          <w:szCs w:val="32"/>
          <w:highlight w:val="none"/>
          <w:u w:val="none" w:color="auto"/>
        </w:rPr>
        <w:t>一、该环评报告表能按有关规范编制，项目环境影响分析客观全面，提出的环保措施有一定的针对性，可作为该项目环境管理的主要依据。</w:t>
      </w:r>
    </w:p>
    <w:p w14:paraId="20D86186">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Times New Roman" w:hAnsi="Times New Roman" w:eastAsia="仿宋_GB2312" w:cs="Times New Roman"/>
          <w:sz w:val="32"/>
          <w:szCs w:val="32"/>
          <w:highlight w:val="none"/>
          <w:u w:val="none" w:color="auto"/>
        </w:rPr>
      </w:pPr>
      <w:r>
        <w:rPr>
          <w:rFonts w:hint="default" w:ascii="Times New Roman" w:hAnsi="Times New Roman" w:eastAsia="仿宋_GB2312" w:cs="Times New Roman"/>
          <w:sz w:val="32"/>
          <w:szCs w:val="32"/>
          <w:highlight w:val="none"/>
          <w:u w:val="none" w:color="auto"/>
          <w:lang w:eastAsia="zh-CN"/>
        </w:rPr>
        <w:t>二</w:t>
      </w:r>
      <w:r>
        <w:rPr>
          <w:rFonts w:hint="default" w:ascii="Times New Roman" w:hAnsi="Times New Roman" w:eastAsia="仿宋_GB2312" w:cs="Times New Roman"/>
          <w:sz w:val="32"/>
          <w:szCs w:val="32"/>
          <w:highlight w:val="none"/>
          <w:u w:val="none" w:color="auto"/>
        </w:rPr>
        <w:t>、项目</w:t>
      </w:r>
      <w:r>
        <w:rPr>
          <w:rFonts w:hint="default" w:ascii="Times New Roman" w:hAnsi="Times New Roman" w:eastAsia="仿宋_GB2312" w:cs="Times New Roman"/>
          <w:sz w:val="32"/>
          <w:szCs w:val="32"/>
          <w:highlight w:val="none"/>
          <w:u w:val="none" w:color="auto"/>
          <w:lang w:eastAsia="zh-CN"/>
        </w:rPr>
        <w:t>建设地点为</w:t>
      </w:r>
      <w:r>
        <w:rPr>
          <w:rFonts w:hint="default" w:ascii="Times New Roman" w:hAnsi="Times New Roman" w:eastAsia="仿宋_GB2312" w:cs="Times New Roman"/>
          <w:sz w:val="32"/>
          <w:szCs w:val="32"/>
          <w:highlight w:val="none"/>
          <w:lang w:val="en-US" w:eastAsia="zh-CN"/>
        </w:rPr>
        <w:t>柳州市柳南区</w:t>
      </w:r>
      <w:r>
        <w:rPr>
          <w:rFonts w:hint="eastAsia" w:eastAsia="仿宋_GB2312" w:cs="Times New Roman"/>
          <w:sz w:val="32"/>
          <w:szCs w:val="32"/>
          <w:highlight w:val="none"/>
          <w:lang w:val="en-US" w:eastAsia="zh-CN"/>
        </w:rPr>
        <w:t>新和路10号</w:t>
      </w:r>
      <w:r>
        <w:rPr>
          <w:rFonts w:hint="default" w:ascii="Times New Roman" w:hAnsi="Times New Roman" w:eastAsia="仿宋_GB2312" w:cs="Times New Roman"/>
          <w:sz w:val="32"/>
          <w:szCs w:val="32"/>
          <w:highlight w:val="none"/>
          <w:u w:val="none" w:color="auto"/>
        </w:rPr>
        <w:t>，项目</w:t>
      </w:r>
      <w:r>
        <w:rPr>
          <w:rFonts w:hint="default" w:ascii="Times New Roman" w:hAnsi="Times New Roman" w:eastAsia="仿宋_GB2312" w:cs="Times New Roman"/>
          <w:sz w:val="32"/>
          <w:szCs w:val="32"/>
          <w:highlight w:val="none"/>
          <w:u w:val="none" w:color="auto"/>
          <w:lang w:val="en-US" w:eastAsia="zh-CN"/>
        </w:rPr>
        <w:t>占地</w:t>
      </w:r>
      <w:r>
        <w:rPr>
          <w:rFonts w:hint="default" w:ascii="Times New Roman" w:hAnsi="Times New Roman" w:eastAsia="仿宋_GB2312" w:cs="Times New Roman"/>
          <w:sz w:val="32"/>
          <w:szCs w:val="32"/>
          <w:highlight w:val="none"/>
          <w:u w:val="none" w:color="auto"/>
        </w:rPr>
        <w:t>面积为</w:t>
      </w:r>
      <w:r>
        <w:rPr>
          <w:rFonts w:hint="eastAsia" w:eastAsia="仿宋_GB2312" w:cs="Times New Roman"/>
          <w:sz w:val="32"/>
          <w:szCs w:val="32"/>
          <w:highlight w:val="none"/>
          <w:lang w:val="en-US" w:eastAsia="zh-CN"/>
        </w:rPr>
        <w:t>1892.61㎡</w:t>
      </w:r>
      <w:r>
        <w:rPr>
          <w:rFonts w:hint="default" w:ascii="Times New Roman" w:hAnsi="Times New Roman" w:eastAsia="仿宋_GB2312" w:cs="Times New Roman"/>
          <w:sz w:val="32"/>
          <w:szCs w:val="32"/>
          <w:highlight w:val="none"/>
          <w:u w:val="none" w:color="auto"/>
        </w:rPr>
        <w:t>平方米，</w:t>
      </w:r>
      <w:r>
        <w:rPr>
          <w:rFonts w:hint="eastAsia" w:eastAsia="仿宋_GB2312" w:cs="Times New Roman"/>
          <w:sz w:val="32"/>
          <w:szCs w:val="32"/>
          <w:highlight w:val="none"/>
          <w:u w:val="none" w:color="auto"/>
          <w:lang w:val="en-US" w:eastAsia="zh-CN"/>
        </w:rPr>
        <w:t>拟租赁厂房建设一座危险废物贮存仓库及其配套设施，收集、贮存、中转《国家危险废物名录》中10大类危险废物共3万吨/年，收集点主要从事贮存中转综合服务业务</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u w:val="none" w:color="auto"/>
        </w:rPr>
        <w:t>项目计划总投资</w:t>
      </w:r>
      <w:r>
        <w:rPr>
          <w:rFonts w:hint="eastAsia" w:eastAsia="仿宋_GB2312" w:cs="Times New Roman"/>
          <w:color w:val="auto"/>
          <w:sz w:val="32"/>
          <w:szCs w:val="32"/>
          <w:highlight w:val="none"/>
          <w:u w:val="none" w:color="auto"/>
          <w:lang w:val="en-US" w:eastAsia="zh-CN"/>
        </w:rPr>
        <w:t>1105.05</w:t>
      </w:r>
      <w:r>
        <w:rPr>
          <w:rFonts w:hint="default" w:ascii="Times New Roman" w:hAnsi="Times New Roman" w:eastAsia="仿宋_GB2312" w:cs="Times New Roman"/>
          <w:sz w:val="32"/>
          <w:szCs w:val="32"/>
          <w:highlight w:val="none"/>
          <w:u w:val="none" w:color="auto"/>
        </w:rPr>
        <w:t>万元，其中环保投资</w:t>
      </w:r>
      <w:r>
        <w:rPr>
          <w:rFonts w:hint="eastAsia" w:eastAsia="仿宋_GB2312" w:cs="Times New Roman"/>
          <w:sz w:val="32"/>
          <w:szCs w:val="32"/>
          <w:highlight w:val="none"/>
          <w:u w:val="none" w:color="auto"/>
          <w:lang w:val="en-US" w:eastAsia="zh-CN"/>
        </w:rPr>
        <w:t>120</w:t>
      </w:r>
      <w:r>
        <w:rPr>
          <w:rFonts w:hint="default" w:ascii="Times New Roman" w:hAnsi="Times New Roman" w:eastAsia="仿宋_GB2312" w:cs="Times New Roman"/>
          <w:sz w:val="32"/>
          <w:szCs w:val="32"/>
          <w:highlight w:val="none"/>
          <w:u w:val="none" w:color="auto"/>
        </w:rPr>
        <w:t>万元。</w:t>
      </w:r>
    </w:p>
    <w:p w14:paraId="6FF1ED94">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Times New Roman" w:hAnsi="Times New Roman" w:eastAsia="仿宋_GB2312" w:cs="Times New Roman"/>
          <w:sz w:val="32"/>
          <w:szCs w:val="32"/>
          <w:highlight w:val="none"/>
          <w:u w:val="none" w:color="auto"/>
        </w:rPr>
      </w:pPr>
      <w:r>
        <w:rPr>
          <w:rFonts w:hint="default" w:ascii="Times New Roman" w:hAnsi="Times New Roman" w:eastAsia="仿宋_GB2312" w:cs="Times New Roman"/>
          <w:sz w:val="32"/>
          <w:szCs w:val="32"/>
          <w:highlight w:val="none"/>
          <w:u w:val="none" w:color="auto"/>
        </w:rPr>
        <w:t>从环境影响角度考虑，同意你单位按照报告表所列的建设项目的地点、性质、规模、采取的环境保护对策措施及下述要求进行项目建设。</w:t>
      </w:r>
    </w:p>
    <w:p w14:paraId="68EF968C">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Times New Roman" w:hAnsi="Times New Roman" w:eastAsia="仿宋_GB2312" w:cs="Times New Roman"/>
          <w:sz w:val="32"/>
          <w:szCs w:val="32"/>
          <w:highlight w:val="none"/>
          <w:u w:val="none" w:color="auto"/>
        </w:rPr>
      </w:pPr>
      <w:r>
        <w:rPr>
          <w:rFonts w:hint="default" w:ascii="Times New Roman" w:hAnsi="Times New Roman" w:eastAsia="仿宋_GB2312" w:cs="Times New Roman"/>
          <w:sz w:val="32"/>
          <w:szCs w:val="32"/>
          <w:highlight w:val="none"/>
          <w:u w:val="none" w:color="auto"/>
        </w:rPr>
        <w:t>项目须达到报告表所提出的各项环保要求，要抓好以下环保工作：</w:t>
      </w:r>
    </w:p>
    <w:p w14:paraId="560740AF">
      <w:pPr>
        <w:keepNext w:val="0"/>
        <w:keepLines w:val="0"/>
        <w:pageBreakBefore w:val="0"/>
        <w:widowControl w:val="0"/>
        <w:kinsoku/>
        <w:wordWrap/>
        <w:overflowPunct/>
        <w:topLinePunct w:val="0"/>
        <w:autoSpaceDE/>
        <w:autoSpaceDN/>
        <w:bidi w:val="0"/>
        <w:spacing w:line="490" w:lineRule="exact"/>
        <w:ind w:firstLine="640" w:firstLineChars="200"/>
        <w:jc w:val="left"/>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施工期：</w:t>
      </w:r>
    </w:p>
    <w:p w14:paraId="6485F9E6">
      <w:pPr>
        <w:keepNext w:val="0"/>
        <w:keepLines w:val="0"/>
        <w:pageBreakBefore w:val="0"/>
        <w:widowControl w:val="0"/>
        <w:numPr>
          <w:ilvl w:val="0"/>
          <w:numId w:val="2"/>
        </w:numPr>
        <w:kinsoku/>
        <w:wordWrap/>
        <w:overflowPunct/>
        <w:topLinePunct w:val="0"/>
        <w:autoSpaceDE/>
        <w:autoSpaceDN/>
        <w:bidi w:val="0"/>
        <w:spacing w:line="490" w:lineRule="exact"/>
        <w:ind w:firstLine="640" w:firstLineChars="200"/>
        <w:jc w:val="left"/>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施工期废气主要为车辆尾气、焊接烟尘和防渗涂料废气。采用国标排放运输车辆，加强通风等举措，须满足《大气污染物综合排放标准》（GB 16297-1996）表2中的无组织排放监控浓度限值要求。</w:t>
      </w:r>
    </w:p>
    <w:p w14:paraId="254FA7CE">
      <w:pPr>
        <w:keepNext w:val="0"/>
        <w:keepLines w:val="0"/>
        <w:pageBreakBefore w:val="0"/>
        <w:widowControl w:val="0"/>
        <w:numPr>
          <w:ilvl w:val="0"/>
          <w:numId w:val="2"/>
        </w:numPr>
        <w:kinsoku/>
        <w:wordWrap/>
        <w:overflowPunct/>
        <w:topLinePunct w:val="0"/>
        <w:autoSpaceDE/>
        <w:autoSpaceDN/>
        <w:bidi w:val="0"/>
        <w:adjustRightInd w:val="0"/>
        <w:snapToGrid w:val="0"/>
        <w:spacing w:line="490" w:lineRule="exact"/>
        <w:ind w:left="0" w:leftChars="0" w:firstLine="640" w:firstLineChars="200"/>
        <w:textAlignment w:val="auto"/>
        <w:rPr>
          <w:rFonts w:hint="default" w:ascii="Times New Roman" w:hAnsi="Times New Roman" w:eastAsia="仿宋_GB2312" w:cs="Times New Roman"/>
          <w:bCs/>
          <w:color w:val="000000"/>
          <w:sz w:val="32"/>
          <w:szCs w:val="32"/>
          <w:highlight w:val="none"/>
          <w:lang w:val="en-US" w:eastAsia="zh-CN"/>
        </w:rPr>
      </w:pPr>
      <w:r>
        <w:rPr>
          <w:rFonts w:hint="eastAsia" w:eastAsia="仿宋_GB2312" w:cs="Times New Roman"/>
          <w:sz w:val="32"/>
          <w:szCs w:val="32"/>
          <w:highlight w:val="none"/>
          <w:lang w:val="en-US" w:eastAsia="zh-CN"/>
        </w:rPr>
        <w:t>施工期废水主要为生活污水。经化粪池预处理后排入污水管网，</w:t>
      </w:r>
      <w:r>
        <w:rPr>
          <w:rFonts w:hint="default" w:ascii="Times New Roman" w:hAnsi="Times New Roman" w:eastAsia="仿宋_GB2312" w:cs="Times New Roman"/>
          <w:color w:val="000000"/>
          <w:sz w:val="32"/>
          <w:szCs w:val="32"/>
          <w:highlight w:val="none"/>
          <w:lang w:val="en-US" w:eastAsia="zh-CN"/>
        </w:rPr>
        <w:t>须满足</w:t>
      </w:r>
      <w:r>
        <w:rPr>
          <w:rFonts w:hint="default" w:ascii="Times New Roman" w:hAnsi="Times New Roman" w:eastAsia="仿宋_GB2312" w:cs="Times New Roman"/>
          <w:spacing w:val="-6"/>
          <w:sz w:val="32"/>
          <w:szCs w:val="32"/>
          <w:highlight w:val="none"/>
        </w:rPr>
        <w:t>《</w:t>
      </w:r>
      <w:r>
        <w:rPr>
          <w:rFonts w:hint="default" w:ascii="Times New Roman" w:hAnsi="Times New Roman" w:eastAsia="仿宋_GB2312" w:cs="Times New Roman"/>
          <w:spacing w:val="-6"/>
          <w:sz w:val="32"/>
          <w:szCs w:val="32"/>
          <w:highlight w:val="none"/>
          <w:lang w:val="en-US" w:eastAsia="zh-CN"/>
        </w:rPr>
        <w:t>污水综合排放</w:t>
      </w:r>
      <w:r>
        <w:rPr>
          <w:rFonts w:hint="default" w:ascii="Times New Roman" w:hAnsi="Times New Roman" w:eastAsia="仿宋_GB2312" w:cs="Times New Roman"/>
          <w:sz w:val="32"/>
          <w:szCs w:val="32"/>
          <w:highlight w:val="none"/>
        </w:rPr>
        <w:t>标准》（GB</w:t>
      </w:r>
      <w:r>
        <w:rPr>
          <w:rFonts w:hint="default" w:ascii="Times New Roman" w:hAnsi="Times New Roman" w:eastAsia="仿宋_GB2312" w:cs="Times New Roman"/>
          <w:sz w:val="32"/>
          <w:szCs w:val="32"/>
          <w:highlight w:val="none"/>
          <w:lang w:val="en-US" w:eastAsia="zh-CN"/>
        </w:rPr>
        <w:t>8978</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1996</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三级标准</w:t>
      </w:r>
      <w:r>
        <w:rPr>
          <w:rFonts w:hint="default" w:ascii="Times New Roman" w:hAnsi="Times New Roman" w:eastAsia="仿宋_GB2312" w:cs="Times New Roman"/>
          <w:bCs/>
          <w:color w:val="000000"/>
          <w:sz w:val="32"/>
          <w:szCs w:val="32"/>
          <w:highlight w:val="none"/>
          <w:lang w:val="en-US" w:eastAsia="zh-CN"/>
        </w:rPr>
        <w:t>。</w:t>
      </w:r>
    </w:p>
    <w:p w14:paraId="41EE9EC3">
      <w:pPr>
        <w:keepNext w:val="0"/>
        <w:keepLines w:val="0"/>
        <w:pageBreakBefore w:val="0"/>
        <w:widowControl w:val="0"/>
        <w:numPr>
          <w:ilvl w:val="0"/>
          <w:numId w:val="2"/>
        </w:numPr>
        <w:kinsoku/>
        <w:wordWrap/>
        <w:overflowPunct/>
        <w:topLinePunct w:val="0"/>
        <w:autoSpaceDE/>
        <w:autoSpaceDN/>
        <w:bidi w:val="0"/>
        <w:adjustRightInd w:val="0"/>
        <w:snapToGrid w:val="0"/>
        <w:spacing w:line="490" w:lineRule="exact"/>
        <w:ind w:left="0" w:leftChars="0" w:firstLine="640" w:firstLineChars="200"/>
        <w:textAlignment w:val="auto"/>
        <w:rPr>
          <w:rFonts w:hint="default" w:ascii="Times New Roman" w:hAnsi="Times New Roman" w:eastAsia="仿宋_GB2312" w:cs="Times New Roman"/>
          <w:bCs/>
          <w:color w:val="000000"/>
          <w:sz w:val="32"/>
          <w:szCs w:val="32"/>
          <w:highlight w:val="none"/>
          <w:lang w:val="en-US" w:eastAsia="zh-CN"/>
        </w:rPr>
      </w:pPr>
      <w:r>
        <w:rPr>
          <w:rFonts w:hint="eastAsia" w:eastAsia="仿宋_GB2312" w:cs="Times New Roman"/>
          <w:bCs/>
          <w:color w:val="000000"/>
          <w:sz w:val="32"/>
          <w:szCs w:val="32"/>
          <w:highlight w:val="none"/>
          <w:lang w:val="en-US" w:eastAsia="zh-CN"/>
        </w:rPr>
        <w:t>施工期噪声主要为施工设备产生的噪声。</w:t>
      </w:r>
      <w:r>
        <w:rPr>
          <w:rFonts w:hint="eastAsia" w:eastAsia="仿宋_GB2312" w:cs="Times New Roman"/>
          <w:sz w:val="32"/>
          <w:szCs w:val="32"/>
          <w:highlight w:val="none"/>
          <w:lang w:val="en-US" w:eastAsia="zh-CN"/>
        </w:rPr>
        <w:t>通过选用低噪声设备，并采取隔声减振等措施</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val="en-US" w:eastAsia="zh-CN"/>
        </w:rPr>
        <w:t>须满足《建筑施工场界环境噪声排放标准》（GB 12523-2011）表1规定限值要求。</w:t>
      </w:r>
    </w:p>
    <w:p w14:paraId="40D2FC5A">
      <w:pPr>
        <w:keepNext w:val="0"/>
        <w:keepLines w:val="0"/>
        <w:pageBreakBefore w:val="0"/>
        <w:widowControl w:val="0"/>
        <w:numPr>
          <w:ilvl w:val="0"/>
          <w:numId w:val="2"/>
        </w:numPr>
        <w:kinsoku/>
        <w:wordWrap/>
        <w:overflowPunct/>
        <w:topLinePunct w:val="0"/>
        <w:autoSpaceDE/>
        <w:autoSpaceDN/>
        <w:bidi w:val="0"/>
        <w:adjustRightInd w:val="0"/>
        <w:snapToGrid w:val="0"/>
        <w:spacing w:line="490" w:lineRule="exact"/>
        <w:ind w:left="0" w:leftChars="0" w:firstLine="640" w:firstLineChars="200"/>
        <w:textAlignment w:val="auto"/>
        <w:rPr>
          <w:rFonts w:hint="default" w:eastAsia="仿宋_GB2312" w:cs="Times New Roman"/>
          <w:sz w:val="32"/>
          <w:szCs w:val="32"/>
          <w:highlight w:val="none"/>
          <w:lang w:val="en-US" w:eastAsia="zh-CN"/>
        </w:rPr>
      </w:pPr>
      <w:r>
        <w:rPr>
          <w:rFonts w:hint="default" w:ascii="Times New Roman" w:hAnsi="Times New Roman" w:eastAsia="仿宋_GB2312" w:cs="Times New Roman"/>
          <w:b w:val="0"/>
          <w:bCs/>
          <w:sz w:val="32"/>
          <w:szCs w:val="32"/>
          <w:highlight w:val="none"/>
          <w:u w:val="none" w:color="auto"/>
        </w:rPr>
        <w:t>须</w:t>
      </w:r>
      <w:r>
        <w:rPr>
          <w:rFonts w:hint="eastAsia" w:eastAsia="仿宋_GB2312" w:cs="Times New Roman"/>
          <w:b w:val="0"/>
          <w:bCs/>
          <w:sz w:val="32"/>
          <w:szCs w:val="32"/>
          <w:highlight w:val="none"/>
          <w:u w:val="none" w:color="auto"/>
          <w:lang w:val="en-US" w:eastAsia="zh-CN"/>
        </w:rPr>
        <w:t>按</w:t>
      </w:r>
      <w:r>
        <w:rPr>
          <w:rFonts w:hint="default" w:ascii="Times New Roman" w:hAnsi="Times New Roman" w:eastAsia="仿宋_GB2312" w:cs="Times New Roman"/>
          <w:b w:val="0"/>
          <w:bCs/>
          <w:sz w:val="32"/>
          <w:szCs w:val="32"/>
          <w:highlight w:val="none"/>
          <w:u w:val="none" w:color="auto"/>
        </w:rPr>
        <w:t>GB18597-20</w:t>
      </w:r>
      <w:r>
        <w:rPr>
          <w:rFonts w:hint="default" w:ascii="Times New Roman" w:hAnsi="Times New Roman" w:eastAsia="仿宋_GB2312" w:cs="Times New Roman"/>
          <w:b w:val="0"/>
          <w:bCs/>
          <w:sz w:val="32"/>
          <w:szCs w:val="32"/>
          <w:highlight w:val="none"/>
          <w:u w:val="none" w:color="auto"/>
          <w:lang w:val="en-US" w:eastAsia="zh-CN"/>
        </w:rPr>
        <w:t>23</w:t>
      </w:r>
      <w:r>
        <w:rPr>
          <w:rFonts w:hint="default" w:ascii="Times New Roman" w:hAnsi="Times New Roman" w:eastAsia="仿宋_GB2312" w:cs="Times New Roman"/>
          <w:b w:val="0"/>
          <w:bCs/>
          <w:sz w:val="32"/>
          <w:szCs w:val="32"/>
          <w:highlight w:val="none"/>
          <w:u w:val="none" w:color="auto"/>
        </w:rPr>
        <w:t>《危险废物贮存污染控制标准》要求建设危险废物的收集临时存放设施，</w:t>
      </w:r>
      <w:r>
        <w:rPr>
          <w:rFonts w:hint="eastAsia" w:eastAsia="仿宋_GB2312" w:cs="Times New Roman"/>
          <w:b w:val="0"/>
          <w:bCs/>
          <w:sz w:val="32"/>
          <w:szCs w:val="32"/>
          <w:highlight w:val="none"/>
          <w:u w:val="none" w:color="auto"/>
          <w:lang w:val="en-US" w:eastAsia="zh-CN"/>
        </w:rPr>
        <w:t>施工</w:t>
      </w:r>
      <w:r>
        <w:rPr>
          <w:rFonts w:hint="default" w:ascii="Times New Roman" w:hAnsi="Times New Roman" w:eastAsia="仿宋_GB2312" w:cs="Times New Roman"/>
          <w:b w:val="0"/>
          <w:bCs/>
          <w:sz w:val="32"/>
          <w:szCs w:val="32"/>
          <w:highlight w:val="none"/>
          <w:u w:val="none" w:color="auto"/>
        </w:rPr>
        <w:t>过程中产生的</w:t>
      </w:r>
      <w:r>
        <w:rPr>
          <w:rFonts w:hint="default" w:ascii="Times New Roman" w:hAnsi="Times New Roman" w:eastAsia="仿宋_GB2312" w:cs="Times New Roman"/>
          <w:color w:val="auto"/>
          <w:sz w:val="32"/>
          <w:szCs w:val="32"/>
          <w:highlight w:val="none"/>
          <w:u w:val="none" w:color="auto"/>
          <w:lang w:eastAsia="zh-CN"/>
        </w:rPr>
        <w:t>危险废物</w:t>
      </w:r>
      <w:r>
        <w:rPr>
          <w:rFonts w:hint="default" w:ascii="Times New Roman" w:hAnsi="Times New Roman" w:eastAsia="仿宋_GB2312" w:cs="Times New Roman"/>
          <w:color w:val="auto"/>
          <w:sz w:val="32"/>
          <w:szCs w:val="32"/>
          <w:highlight w:val="none"/>
          <w:u w:val="none" w:color="auto"/>
        </w:rPr>
        <w:t>交由有</w:t>
      </w:r>
      <w:r>
        <w:rPr>
          <w:rFonts w:hint="default" w:ascii="Times New Roman" w:hAnsi="Times New Roman" w:eastAsia="仿宋_GB2312" w:cs="Times New Roman"/>
          <w:color w:val="auto"/>
          <w:sz w:val="32"/>
          <w:szCs w:val="32"/>
          <w:highlight w:val="none"/>
          <w:u w:val="none" w:color="auto"/>
          <w:lang w:eastAsia="zh-CN"/>
        </w:rPr>
        <w:t>危险废物</w:t>
      </w:r>
      <w:r>
        <w:rPr>
          <w:rFonts w:hint="default" w:ascii="Times New Roman" w:hAnsi="Times New Roman" w:eastAsia="仿宋_GB2312" w:cs="Times New Roman"/>
          <w:color w:val="auto"/>
          <w:sz w:val="32"/>
          <w:szCs w:val="32"/>
          <w:highlight w:val="none"/>
          <w:u w:val="none" w:color="auto"/>
        </w:rPr>
        <w:t>资质单位进行回收处置</w:t>
      </w:r>
      <w:r>
        <w:rPr>
          <w:rFonts w:hint="eastAsia" w:eastAsia="仿宋_GB2312" w:cs="Times New Roman"/>
          <w:color w:val="auto"/>
          <w:sz w:val="32"/>
          <w:szCs w:val="32"/>
          <w:highlight w:val="none"/>
          <w:u w:val="none" w:color="auto"/>
          <w:lang w:eastAsia="zh-CN"/>
        </w:rPr>
        <w:t>。</w:t>
      </w:r>
    </w:p>
    <w:p w14:paraId="3852E1B1">
      <w:pPr>
        <w:keepNext w:val="0"/>
        <w:keepLines w:val="0"/>
        <w:pageBreakBefore w:val="0"/>
        <w:widowControl w:val="0"/>
        <w:kinsoku/>
        <w:wordWrap/>
        <w:overflowPunct/>
        <w:topLinePunct w:val="0"/>
        <w:autoSpaceDE/>
        <w:autoSpaceDN/>
        <w:bidi w:val="0"/>
        <w:spacing w:line="490" w:lineRule="exact"/>
        <w:ind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运营期</w:t>
      </w:r>
      <w:r>
        <w:rPr>
          <w:rFonts w:hint="default" w:ascii="Times New Roman" w:hAnsi="Times New Roman" w:eastAsia="仿宋_GB2312" w:cs="Times New Roman"/>
          <w:sz w:val="32"/>
          <w:szCs w:val="32"/>
          <w:highlight w:val="none"/>
        </w:rPr>
        <w:t>：</w:t>
      </w:r>
    </w:p>
    <w:p w14:paraId="6A3D3EA8">
      <w:pPr>
        <w:keepNext w:val="0"/>
        <w:keepLines w:val="0"/>
        <w:pageBreakBefore w:val="0"/>
        <w:widowControl w:val="0"/>
        <w:numPr>
          <w:ilvl w:val="0"/>
          <w:numId w:val="3"/>
        </w:numPr>
        <w:kinsoku/>
        <w:wordWrap/>
        <w:overflowPunct/>
        <w:topLinePunct w:val="0"/>
        <w:autoSpaceDE/>
        <w:autoSpaceDN/>
        <w:bidi w:val="0"/>
        <w:adjustRightInd/>
        <w:snapToGrid/>
        <w:spacing w:line="49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u w:val="none" w:color="auto"/>
          <w:lang w:eastAsia="zh-CN"/>
        </w:rPr>
        <w:t>运营期废气主要为</w:t>
      </w:r>
      <w:r>
        <w:rPr>
          <w:rFonts w:hint="eastAsia" w:eastAsia="仿宋_GB2312" w:cs="Times New Roman"/>
          <w:sz w:val="32"/>
          <w:szCs w:val="32"/>
          <w:highlight w:val="none"/>
          <w:u w:val="none" w:color="auto"/>
          <w:lang w:val="en-US" w:eastAsia="zh-CN"/>
        </w:rPr>
        <w:t>危险废物在贮存过程产生的废气，主要污染物包括NMHC、甲苯、二甲苯、HCI、硫酸雾、氟化物、氨气和硫化氢等。储罐及各中转区产生的贮存废气经上方的集气罩负压收集引入“碱液喷淋塔+活性炭吸附装置”处理，净化后由15m高DA001排气筒排放，DA001排气筒未能高出周边200m半径范围的建筑5m以上，执行《大气污染物综合排放标准》（GB 16297-1996）的污染物排放速率标准值严格50%执行；少量未收集废气以无组织形式排放。项目有组织及无组织排放浓度均须满足</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val="en-US" w:eastAsia="zh-CN"/>
        </w:rPr>
        <w:t>大气</w:t>
      </w:r>
      <w:r>
        <w:rPr>
          <w:rFonts w:hint="default" w:ascii="Times New Roman" w:hAnsi="Times New Roman" w:eastAsia="仿宋_GB2312" w:cs="Times New Roman"/>
          <w:sz w:val="32"/>
          <w:szCs w:val="32"/>
          <w:highlight w:val="none"/>
          <w:lang w:val="en-US" w:eastAsia="zh-CN"/>
        </w:rPr>
        <w:t>污染物</w:t>
      </w:r>
      <w:r>
        <w:rPr>
          <w:rFonts w:hint="eastAsia" w:eastAsia="仿宋_GB2312" w:cs="Times New Roman"/>
          <w:sz w:val="32"/>
          <w:szCs w:val="32"/>
          <w:highlight w:val="none"/>
          <w:lang w:val="en-US" w:eastAsia="zh-CN"/>
        </w:rPr>
        <w:t>综合</w:t>
      </w:r>
      <w:r>
        <w:rPr>
          <w:rFonts w:hint="default" w:ascii="Times New Roman" w:hAnsi="Times New Roman" w:eastAsia="仿宋_GB2312" w:cs="Times New Roman"/>
          <w:sz w:val="32"/>
          <w:szCs w:val="32"/>
          <w:highlight w:val="none"/>
          <w:lang w:val="en-US" w:eastAsia="zh-CN"/>
        </w:rPr>
        <w:t>排放标准</w:t>
      </w:r>
      <w:r>
        <w:rPr>
          <w:rFonts w:hint="default" w:ascii="Times New Roman" w:hAnsi="Times New Roman" w:eastAsia="仿宋_GB2312" w:cs="Times New Roman"/>
          <w:sz w:val="32"/>
          <w:szCs w:val="32"/>
          <w:highlight w:val="none"/>
        </w:rPr>
        <w:t>》(GB</w:t>
      </w:r>
      <w:r>
        <w:rPr>
          <w:rFonts w:hint="eastAsia" w:eastAsia="仿宋_GB2312" w:cs="Times New Roman"/>
          <w:sz w:val="32"/>
          <w:szCs w:val="32"/>
          <w:highlight w:val="none"/>
          <w:lang w:val="en-US" w:eastAsia="zh-CN"/>
        </w:rPr>
        <w:t>16297</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val="en-US" w:eastAsia="zh-CN"/>
        </w:rPr>
        <w:t>1996</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val="en-US" w:eastAsia="zh-CN"/>
        </w:rPr>
        <w:t>表2要求；氨、硫化氢和臭气等有组织排放浓度须满足《恶臭污染物排放标准》（GB 14554-93）表2要求，无组织排放浓度须满足《恶臭污染物排放标准》（GB 14554-93）表1要求；非甲烷总烃排放须同时满足《挥发性有机物无组织排放控制标准》（GB 37822-2019）要求。</w:t>
      </w:r>
    </w:p>
    <w:p w14:paraId="4179D85D">
      <w:pPr>
        <w:keepNext w:val="0"/>
        <w:keepLines w:val="0"/>
        <w:pageBreakBefore w:val="0"/>
        <w:widowControl w:val="0"/>
        <w:kinsoku/>
        <w:wordWrap/>
        <w:overflowPunct/>
        <w:topLinePunct w:val="0"/>
        <w:autoSpaceDE/>
        <w:autoSpaceDN/>
        <w:bidi w:val="0"/>
        <w:adjustRightInd w:val="0"/>
        <w:snapToGrid w:val="0"/>
        <w:spacing w:line="49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color w:val="000000"/>
          <w:sz w:val="32"/>
          <w:szCs w:val="32"/>
          <w:highlight w:val="none"/>
          <w:lang w:val="en-US" w:eastAsia="zh-CN"/>
        </w:rPr>
        <w:t>（二）运营期废水主要</w:t>
      </w:r>
      <w:r>
        <w:rPr>
          <w:rFonts w:hint="eastAsia" w:eastAsia="仿宋_GB2312" w:cs="Times New Roman"/>
          <w:color w:val="000000"/>
          <w:sz w:val="32"/>
          <w:szCs w:val="32"/>
          <w:highlight w:val="none"/>
          <w:lang w:val="en-US" w:eastAsia="zh-CN"/>
        </w:rPr>
        <w:t>为生活污水</w:t>
      </w:r>
      <w:r>
        <w:rPr>
          <w:rFonts w:hint="default" w:ascii="Times New Roman" w:hAnsi="Times New Roman" w:eastAsia="仿宋_GB2312" w:cs="Times New Roman"/>
          <w:color w:val="000000"/>
          <w:sz w:val="32"/>
          <w:szCs w:val="32"/>
          <w:highlight w:val="none"/>
          <w:lang w:val="en-US" w:eastAsia="zh-CN"/>
        </w:rPr>
        <w:t>。</w:t>
      </w:r>
      <w:r>
        <w:rPr>
          <w:rFonts w:hint="eastAsia" w:eastAsia="仿宋_GB2312" w:cs="Times New Roman"/>
          <w:color w:val="000000"/>
          <w:sz w:val="32"/>
          <w:szCs w:val="32"/>
          <w:highlight w:val="none"/>
          <w:lang w:val="en-US" w:eastAsia="zh-CN"/>
        </w:rPr>
        <w:t>生活污水经化粪池处理后排入污水管网</w:t>
      </w:r>
      <w:r>
        <w:rPr>
          <w:rFonts w:hint="default" w:ascii="Times New Roman" w:hAnsi="Times New Roman" w:eastAsia="仿宋_GB2312" w:cs="Times New Roman"/>
          <w:color w:val="000000"/>
          <w:sz w:val="32"/>
          <w:szCs w:val="32"/>
          <w:highlight w:val="none"/>
          <w:lang w:val="en-US" w:eastAsia="zh-CN"/>
        </w:rPr>
        <w:t>，须满足</w:t>
      </w:r>
      <w:r>
        <w:rPr>
          <w:rFonts w:hint="default" w:ascii="Times New Roman" w:hAnsi="Times New Roman" w:eastAsia="仿宋_GB2312" w:cs="Times New Roman"/>
          <w:spacing w:val="-6"/>
          <w:sz w:val="32"/>
          <w:szCs w:val="32"/>
          <w:highlight w:val="none"/>
        </w:rPr>
        <w:t>《</w:t>
      </w:r>
      <w:r>
        <w:rPr>
          <w:rFonts w:hint="default" w:ascii="Times New Roman" w:hAnsi="Times New Roman" w:eastAsia="仿宋_GB2312" w:cs="Times New Roman"/>
          <w:spacing w:val="-6"/>
          <w:sz w:val="32"/>
          <w:szCs w:val="32"/>
          <w:highlight w:val="none"/>
          <w:lang w:val="en-US" w:eastAsia="zh-CN"/>
        </w:rPr>
        <w:t>污水综合排放</w:t>
      </w:r>
      <w:r>
        <w:rPr>
          <w:rFonts w:hint="default" w:ascii="Times New Roman" w:hAnsi="Times New Roman" w:eastAsia="仿宋_GB2312" w:cs="Times New Roman"/>
          <w:sz w:val="32"/>
          <w:szCs w:val="32"/>
          <w:highlight w:val="none"/>
        </w:rPr>
        <w:t>标准》（GB</w:t>
      </w:r>
      <w:r>
        <w:rPr>
          <w:rFonts w:hint="eastAsia"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8978</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1996</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三级标准</w:t>
      </w:r>
      <w:r>
        <w:rPr>
          <w:rFonts w:hint="default" w:ascii="Times New Roman" w:hAnsi="Times New Roman" w:eastAsia="仿宋_GB2312" w:cs="Times New Roman"/>
          <w:bCs/>
          <w:color w:val="000000"/>
          <w:sz w:val="32"/>
          <w:szCs w:val="32"/>
          <w:highlight w:val="none"/>
          <w:lang w:val="en-US" w:eastAsia="zh-CN"/>
        </w:rPr>
        <w:t>。</w:t>
      </w:r>
    </w:p>
    <w:p w14:paraId="3739FBA9">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sz w:val="32"/>
          <w:szCs w:val="32"/>
          <w:highlight w:val="none"/>
          <w:lang w:eastAsia="zh-CN"/>
        </w:rPr>
        <w:t>（</w:t>
      </w:r>
      <w:r>
        <w:rPr>
          <w:rFonts w:hint="eastAsia" w:eastAsia="仿宋_GB2312" w:cs="Times New Roman"/>
          <w:sz w:val="32"/>
          <w:szCs w:val="32"/>
          <w:highlight w:val="none"/>
          <w:lang w:val="en-US" w:eastAsia="zh-CN"/>
        </w:rPr>
        <w:t>三</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运营期噪声</w:t>
      </w:r>
      <w:r>
        <w:rPr>
          <w:rFonts w:hint="default" w:ascii="Times New Roman" w:hAnsi="Times New Roman" w:eastAsia="仿宋_GB2312" w:cs="Times New Roman"/>
          <w:sz w:val="32"/>
          <w:szCs w:val="32"/>
          <w:highlight w:val="none"/>
          <w:lang w:eastAsia="zh-CN"/>
        </w:rPr>
        <w:t>主要为</w:t>
      </w:r>
      <w:r>
        <w:rPr>
          <w:rFonts w:hint="eastAsia" w:eastAsia="仿宋_GB2312" w:cs="Times New Roman"/>
          <w:sz w:val="32"/>
          <w:szCs w:val="32"/>
          <w:highlight w:val="none"/>
          <w:lang w:val="en-US" w:eastAsia="zh-CN"/>
        </w:rPr>
        <w:t>生产设备产生的设备噪声</w:t>
      </w:r>
      <w:r>
        <w:rPr>
          <w:rFonts w:hint="default" w:ascii="Times New Roman" w:hAnsi="Times New Roman" w:eastAsia="仿宋_GB2312" w:cs="Times New Roman"/>
          <w:sz w:val="32"/>
          <w:szCs w:val="32"/>
          <w:highlight w:val="none"/>
          <w:lang w:eastAsia="zh-CN"/>
        </w:rPr>
        <w:t>。</w:t>
      </w:r>
      <w:r>
        <w:rPr>
          <w:rFonts w:hint="eastAsia" w:eastAsia="仿宋_GB2312" w:cs="Times New Roman"/>
          <w:sz w:val="32"/>
          <w:szCs w:val="32"/>
          <w:highlight w:val="none"/>
          <w:lang w:val="en-US" w:eastAsia="zh-CN"/>
        </w:rPr>
        <w:t>通过选用低噪声设备，并采取基础减震、距离衰减、设备加装隔声罩等措施</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须满足</w:t>
      </w:r>
      <w:r>
        <w:rPr>
          <w:rFonts w:hint="default" w:ascii="Times New Roman" w:hAnsi="Times New Roman" w:eastAsia="仿宋_GB2312" w:cs="Times New Roman"/>
          <w:sz w:val="32"/>
          <w:szCs w:val="32"/>
          <w:highlight w:val="none"/>
        </w:rPr>
        <w:t>《工业企业厂界环境噪声排放标准》（GB</w:t>
      </w:r>
      <w:r>
        <w:rPr>
          <w:rFonts w:hint="eastAsia"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12348-2008）中</w:t>
      </w:r>
      <w:r>
        <w:rPr>
          <w:rFonts w:hint="eastAsia" w:eastAsia="仿宋_GB2312" w:cs="Times New Roman"/>
          <w:sz w:val="32"/>
          <w:szCs w:val="32"/>
          <w:highlight w:val="none"/>
          <w:lang w:val="en-US" w:eastAsia="zh-CN"/>
        </w:rPr>
        <w:t>的</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类标准</w:t>
      </w:r>
      <w:r>
        <w:rPr>
          <w:rFonts w:hint="eastAsia" w:eastAsia="仿宋_GB2312" w:cs="Times New Roman"/>
          <w:sz w:val="32"/>
          <w:szCs w:val="32"/>
          <w:highlight w:val="none"/>
          <w:lang w:val="en-US" w:eastAsia="zh-CN"/>
        </w:rPr>
        <w:t>限值要求</w:t>
      </w:r>
      <w:r>
        <w:rPr>
          <w:rFonts w:hint="default" w:ascii="Times New Roman" w:hAnsi="Times New Roman" w:eastAsia="仿宋_GB2312" w:cs="Times New Roman"/>
          <w:sz w:val="32"/>
          <w:szCs w:val="32"/>
          <w:highlight w:val="none"/>
          <w:lang w:eastAsia="zh-CN"/>
        </w:rPr>
        <w:t>。</w:t>
      </w:r>
    </w:p>
    <w:p w14:paraId="6EF5849B">
      <w:pPr>
        <w:keepNext w:val="0"/>
        <w:keepLines w:val="0"/>
        <w:pageBreakBefore w:val="0"/>
        <w:widowControl w:val="0"/>
        <w:kinsoku/>
        <w:wordWrap/>
        <w:overflowPunct/>
        <w:topLinePunct w:val="0"/>
        <w:autoSpaceDE/>
        <w:autoSpaceDN/>
        <w:bidi w:val="0"/>
        <w:spacing w:line="480" w:lineRule="exact"/>
        <w:ind w:firstLine="640" w:firstLineChars="200"/>
        <w:jc w:val="lef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val="0"/>
          <w:bCs/>
          <w:sz w:val="32"/>
          <w:szCs w:val="32"/>
          <w:highlight w:val="none"/>
          <w:u w:val="none" w:color="auto"/>
          <w:lang w:eastAsia="zh-CN"/>
        </w:rPr>
        <w:t>（</w:t>
      </w:r>
      <w:r>
        <w:rPr>
          <w:rFonts w:hint="default" w:ascii="Times New Roman" w:hAnsi="Times New Roman" w:eastAsia="仿宋_GB2312" w:cs="Times New Roman"/>
          <w:b w:val="0"/>
          <w:bCs/>
          <w:sz w:val="32"/>
          <w:szCs w:val="32"/>
          <w:highlight w:val="none"/>
          <w:u w:val="none" w:color="auto"/>
          <w:lang w:val="en-US" w:eastAsia="zh-CN"/>
        </w:rPr>
        <w:t>四</w:t>
      </w:r>
      <w:r>
        <w:rPr>
          <w:rFonts w:hint="default" w:ascii="Times New Roman" w:hAnsi="Times New Roman" w:eastAsia="仿宋_GB2312" w:cs="Times New Roman"/>
          <w:b w:val="0"/>
          <w:bCs/>
          <w:sz w:val="32"/>
          <w:szCs w:val="32"/>
          <w:highlight w:val="none"/>
          <w:u w:val="none" w:color="auto"/>
          <w:lang w:eastAsia="zh-CN"/>
        </w:rPr>
        <w:t>）</w:t>
      </w:r>
      <w:r>
        <w:rPr>
          <w:rFonts w:hint="eastAsia" w:eastAsia="仿宋_GB2312" w:cs="Times New Roman"/>
          <w:b w:val="0"/>
          <w:bCs/>
          <w:sz w:val="32"/>
          <w:szCs w:val="32"/>
          <w:highlight w:val="none"/>
          <w:u w:val="none" w:color="auto"/>
          <w:lang w:val="en-US" w:eastAsia="zh-CN"/>
        </w:rPr>
        <w:t>须</w:t>
      </w:r>
      <w:r>
        <w:rPr>
          <w:rFonts w:hint="default" w:ascii="Times New Roman" w:hAnsi="Times New Roman" w:eastAsia="仿宋_GB2312" w:cs="Times New Roman"/>
          <w:b w:val="0"/>
          <w:bCs/>
          <w:sz w:val="32"/>
          <w:szCs w:val="32"/>
          <w:highlight w:val="none"/>
          <w:u w:val="none" w:color="auto"/>
        </w:rPr>
        <w:t>按GB</w:t>
      </w:r>
      <w:r>
        <w:rPr>
          <w:rFonts w:hint="eastAsia" w:eastAsia="仿宋_GB2312" w:cs="Times New Roman"/>
          <w:b w:val="0"/>
          <w:bCs/>
          <w:sz w:val="32"/>
          <w:szCs w:val="32"/>
          <w:highlight w:val="none"/>
          <w:u w:val="none" w:color="auto"/>
          <w:lang w:val="en-US" w:eastAsia="zh-CN"/>
        </w:rPr>
        <w:t xml:space="preserve"> </w:t>
      </w:r>
      <w:r>
        <w:rPr>
          <w:rFonts w:hint="default" w:ascii="Times New Roman" w:hAnsi="Times New Roman" w:eastAsia="仿宋_GB2312" w:cs="Times New Roman"/>
          <w:b w:val="0"/>
          <w:bCs/>
          <w:sz w:val="32"/>
          <w:szCs w:val="32"/>
          <w:highlight w:val="none"/>
          <w:u w:val="none" w:color="auto"/>
        </w:rPr>
        <w:t>18597-20</w:t>
      </w:r>
      <w:r>
        <w:rPr>
          <w:rFonts w:hint="default" w:ascii="Times New Roman" w:hAnsi="Times New Roman" w:eastAsia="仿宋_GB2312" w:cs="Times New Roman"/>
          <w:b w:val="0"/>
          <w:bCs/>
          <w:sz w:val="32"/>
          <w:szCs w:val="32"/>
          <w:highlight w:val="none"/>
          <w:u w:val="none" w:color="auto"/>
          <w:lang w:val="en-US" w:eastAsia="zh-CN"/>
        </w:rPr>
        <w:t>23</w:t>
      </w:r>
      <w:r>
        <w:rPr>
          <w:rFonts w:hint="default" w:ascii="Times New Roman" w:hAnsi="Times New Roman" w:eastAsia="仿宋_GB2312" w:cs="Times New Roman"/>
          <w:b w:val="0"/>
          <w:bCs/>
          <w:sz w:val="32"/>
          <w:szCs w:val="32"/>
          <w:highlight w:val="none"/>
          <w:u w:val="none" w:color="auto"/>
        </w:rPr>
        <w:t>《危险废物贮存污染控制标准》要求</w:t>
      </w:r>
      <w:r>
        <w:rPr>
          <w:rFonts w:hint="eastAsia" w:eastAsia="仿宋_GB2312" w:cs="Times New Roman"/>
          <w:b w:val="0"/>
          <w:bCs/>
          <w:sz w:val="32"/>
          <w:szCs w:val="32"/>
          <w:highlight w:val="none"/>
          <w:u w:val="none" w:color="auto"/>
          <w:lang w:val="en-US" w:eastAsia="zh-CN"/>
        </w:rPr>
        <w:t>建设贮存库，运营期收集转运的危险废物在厂内暂存期间须按危废贮存要求妥善保管、封存，并做好相应场所的防渗、防漏工作；运营过程产生的废油储罐罐底油泥、废含油抹布及劳保清洁用品、废气破损容器、废活性炭、喷淋塔废液、分析废液等危险废物在自产危废间暂存后转运至有相应资质单位进行处置并</w:t>
      </w:r>
      <w:r>
        <w:rPr>
          <w:rFonts w:hint="default" w:ascii="Times New Roman" w:hAnsi="Times New Roman" w:eastAsia="仿宋_GB2312" w:cs="Times New Roman"/>
          <w:b w:val="0"/>
          <w:bCs/>
          <w:sz w:val="32"/>
          <w:szCs w:val="32"/>
          <w:highlight w:val="none"/>
          <w:u w:val="none" w:color="auto"/>
        </w:rPr>
        <w:t>做好危险废物处置及转移联单的台</w:t>
      </w:r>
      <w:r>
        <w:rPr>
          <w:rFonts w:hint="eastAsia" w:eastAsia="仿宋_GB2312" w:cs="Times New Roman"/>
          <w:b w:val="0"/>
          <w:bCs/>
          <w:sz w:val="32"/>
          <w:szCs w:val="32"/>
          <w:highlight w:val="none"/>
          <w:u w:val="none" w:color="auto"/>
          <w:lang w:val="en-US" w:eastAsia="zh-CN"/>
        </w:rPr>
        <w:t>账</w:t>
      </w:r>
      <w:bookmarkStart w:id="0" w:name="_GoBack"/>
      <w:bookmarkEnd w:id="0"/>
      <w:r>
        <w:rPr>
          <w:rFonts w:hint="default" w:ascii="Times New Roman" w:hAnsi="Times New Roman" w:eastAsia="仿宋_GB2312" w:cs="Times New Roman"/>
          <w:b w:val="0"/>
          <w:bCs/>
          <w:sz w:val="32"/>
          <w:szCs w:val="32"/>
          <w:highlight w:val="none"/>
          <w:u w:val="none" w:color="auto"/>
        </w:rPr>
        <w:t>记录。</w:t>
      </w:r>
      <w:r>
        <w:rPr>
          <w:rFonts w:hint="eastAsia" w:eastAsia="仿宋_GB2312" w:cs="Times New Roman"/>
          <w:b w:val="0"/>
          <w:bCs/>
          <w:sz w:val="32"/>
          <w:szCs w:val="32"/>
          <w:highlight w:val="none"/>
          <w:u w:val="none" w:color="auto"/>
          <w:lang w:val="en-US" w:eastAsia="zh-CN"/>
        </w:rPr>
        <w:t>运营期产生的生活垃圾须委托环卫部门统一清运。</w:t>
      </w:r>
    </w:p>
    <w:p w14:paraId="566DFED4">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Times New Roman" w:hAnsi="Times New Roman" w:eastAsia="仿宋_GB2312" w:cs="Times New Roman"/>
          <w:sz w:val="32"/>
          <w:szCs w:val="32"/>
          <w:highlight w:val="none"/>
          <w:u w:val="none" w:color="auto"/>
        </w:rPr>
      </w:pPr>
      <w:r>
        <w:rPr>
          <w:rFonts w:hint="default" w:ascii="Times New Roman" w:hAnsi="Times New Roman" w:eastAsia="仿宋_GB2312" w:cs="Times New Roman"/>
          <w:sz w:val="32"/>
          <w:szCs w:val="32"/>
          <w:highlight w:val="none"/>
          <w:u w:val="none" w:color="auto"/>
          <w:lang w:val="en-US" w:eastAsia="zh-CN"/>
        </w:rPr>
        <w:t>（</w:t>
      </w:r>
      <w:r>
        <w:rPr>
          <w:rFonts w:hint="eastAsia" w:eastAsia="仿宋_GB2312" w:cs="Times New Roman"/>
          <w:sz w:val="32"/>
          <w:szCs w:val="32"/>
          <w:highlight w:val="none"/>
          <w:u w:val="none" w:color="auto"/>
          <w:lang w:val="en-US" w:eastAsia="zh-CN"/>
        </w:rPr>
        <w:t>五</w:t>
      </w:r>
      <w:r>
        <w:rPr>
          <w:rFonts w:hint="default" w:ascii="Times New Roman" w:hAnsi="Times New Roman" w:eastAsia="仿宋_GB2312" w:cs="Times New Roman"/>
          <w:sz w:val="32"/>
          <w:szCs w:val="32"/>
          <w:highlight w:val="none"/>
          <w:u w:val="none" w:color="auto"/>
          <w:lang w:val="en-US" w:eastAsia="zh-CN"/>
        </w:rPr>
        <w:t>）</w:t>
      </w:r>
      <w:r>
        <w:rPr>
          <w:rFonts w:hint="default" w:ascii="Times New Roman" w:hAnsi="Times New Roman" w:eastAsia="仿宋_GB2312" w:cs="Times New Roman"/>
          <w:sz w:val="32"/>
          <w:szCs w:val="32"/>
          <w:highlight w:val="none"/>
          <w:u w:val="none" w:color="auto"/>
        </w:rPr>
        <w:t>按照《关于印发〈企业事业单位突发环境事件应急预案备案管理办法(试行)〉的通知》(环发〔2015〕4号)等相关要求，制订应急预案，配备相应的应急保障物资，落实环境风险防范措施，定期进行应急演练。加强环境管理，落实环境保护规章制度，确保环保设施的正常运转以及各项污染物稳定达标排放。</w:t>
      </w:r>
    </w:p>
    <w:p w14:paraId="365E71EB">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Times New Roman" w:hAnsi="Times New Roman" w:eastAsia="仿宋_GB2312" w:cs="Times New Roman"/>
          <w:sz w:val="32"/>
          <w:szCs w:val="32"/>
          <w:highlight w:val="none"/>
          <w:u w:val="none" w:color="auto"/>
        </w:rPr>
      </w:pPr>
      <w:r>
        <w:rPr>
          <w:rFonts w:hint="default" w:ascii="Times New Roman" w:hAnsi="Times New Roman" w:eastAsia="仿宋_GB2312" w:cs="Times New Roman"/>
          <w:sz w:val="32"/>
          <w:szCs w:val="32"/>
          <w:highlight w:val="none"/>
          <w:u w:val="none" w:color="auto"/>
          <w:lang w:eastAsia="zh-CN"/>
        </w:rPr>
        <w:t>三</w:t>
      </w:r>
      <w:r>
        <w:rPr>
          <w:rFonts w:hint="default" w:ascii="Times New Roman" w:hAnsi="Times New Roman" w:eastAsia="仿宋_GB2312" w:cs="Times New Roman"/>
          <w:sz w:val="32"/>
          <w:szCs w:val="32"/>
          <w:highlight w:val="none"/>
          <w:u w:val="none" w:color="auto"/>
        </w:rPr>
        <w:t xml:space="preserve">、该项目建设必须严格执行环境保护设施与主体工程同时设计、同时施工、同时投产使用的环境保护“三同时”制度，落实各项环境保护措施。工程建成后，须按《建设项目竣工环境保护验收暂行办法》要求实施竣工环境保护验收。 </w:t>
      </w:r>
    </w:p>
    <w:p w14:paraId="1735C764">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u w:val="none" w:color="auto"/>
          <w:lang w:eastAsia="zh-CN"/>
        </w:rPr>
        <w:t>四</w:t>
      </w:r>
      <w:r>
        <w:rPr>
          <w:rFonts w:hint="default" w:ascii="Times New Roman" w:hAnsi="Times New Roman" w:eastAsia="仿宋_GB2312" w:cs="Times New Roman"/>
          <w:sz w:val="32"/>
          <w:szCs w:val="32"/>
          <w:highlight w:val="none"/>
          <w:u w:val="none" w:color="auto"/>
        </w:rPr>
        <w:t>、建设项目的性质、规模、地点、采用的生产工艺或者防治污染、防止生态破坏的措施发生重大变动的，建设单位应当重新报批建设项目的环境影响评价文件。建设项目的环境影响评价文件自批准之日起超过五年，方决定该项目开工建设的，其环境影响评价文件应当报我局重新审核同意后方可建设</w:t>
      </w:r>
      <w:r>
        <w:rPr>
          <w:rFonts w:hint="default" w:ascii="Times New Roman" w:hAnsi="Times New Roman" w:eastAsia="仿宋_GB2312" w:cs="Times New Roman"/>
          <w:sz w:val="32"/>
          <w:szCs w:val="32"/>
          <w:highlight w:val="none"/>
          <w:u w:val="none" w:color="auto"/>
          <w:lang w:eastAsia="zh-CN"/>
        </w:rPr>
        <w:t>。</w:t>
      </w:r>
    </w:p>
    <w:p w14:paraId="73EE8490">
      <w:pPr>
        <w:pStyle w:val="14"/>
        <w:ind w:left="0" w:leftChars="0" w:firstLine="0" w:firstLineChars="0"/>
        <w:rPr>
          <w:rFonts w:hint="default"/>
          <w:lang w:val="en-US" w:eastAsia="zh-CN"/>
        </w:rPr>
      </w:pPr>
    </w:p>
    <w:p w14:paraId="4AAF97B6">
      <w:pPr>
        <w:pStyle w:val="14"/>
        <w:ind w:left="0" w:leftChars="0" w:firstLine="0" w:firstLineChars="0"/>
        <w:rPr>
          <w:rFonts w:hint="default"/>
          <w:lang w:val="en-US" w:eastAsia="zh-CN"/>
        </w:rPr>
      </w:pPr>
    </w:p>
    <w:p w14:paraId="77DD2836">
      <w:pPr>
        <w:pStyle w:val="14"/>
        <w:ind w:left="0" w:leftChars="0" w:firstLine="0" w:firstLineChars="0"/>
        <w:rPr>
          <w:rFonts w:hint="default"/>
          <w:lang w:val="en-US" w:eastAsia="zh-CN"/>
        </w:rPr>
      </w:pPr>
    </w:p>
    <w:p w14:paraId="7D4B3D35">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righ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2025年</w:t>
      </w:r>
      <w:r>
        <w:rPr>
          <w:rFonts w:hint="eastAsia" w:eastAsia="仿宋_GB2312" w:cs="Times New Roman"/>
          <w:sz w:val="32"/>
          <w:szCs w:val="32"/>
          <w:highlight w:val="none"/>
          <w:lang w:val="en-US" w:eastAsia="zh-CN"/>
        </w:rPr>
        <w:t>12</w:t>
      </w:r>
      <w:r>
        <w:rPr>
          <w:rFonts w:hint="default" w:ascii="Times New Roman" w:hAnsi="Times New Roman" w:eastAsia="仿宋_GB2312" w:cs="Times New Roman"/>
          <w:sz w:val="32"/>
          <w:szCs w:val="32"/>
          <w:highlight w:val="none"/>
          <w:lang w:val="en-US" w:eastAsia="zh-CN"/>
        </w:rPr>
        <w:t>月</w:t>
      </w: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日</w:t>
      </w:r>
    </w:p>
    <w:p w14:paraId="30039313">
      <w:pPr>
        <w:pStyle w:val="14"/>
        <w:ind w:left="0" w:leftChars="0" w:firstLine="0" w:firstLineChars="0"/>
        <w:rPr>
          <w:rFonts w:hint="default"/>
        </w:rPr>
      </w:pPr>
    </w:p>
    <w:p w14:paraId="66BAD8AD">
      <w:pPr>
        <w:pStyle w:val="14"/>
        <w:ind w:left="0" w:leftChars="0" w:firstLine="0" w:firstLineChars="0"/>
        <w:rPr>
          <w:rFonts w:hint="default"/>
        </w:rPr>
      </w:pPr>
    </w:p>
    <w:p w14:paraId="33459AAF">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bCs/>
          <w:sz w:val="32"/>
          <w:szCs w:val="32"/>
          <w:highlight w:val="none"/>
        </w:rPr>
      </w:pPr>
    </w:p>
    <w:p w14:paraId="24F9A342">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bCs/>
          <w:sz w:val="32"/>
          <w:szCs w:val="32"/>
          <w:highlight w:val="none"/>
        </w:rPr>
      </w:pPr>
    </w:p>
    <w:p w14:paraId="437CB25D">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bCs/>
          <w:sz w:val="32"/>
          <w:szCs w:val="32"/>
          <w:highlight w:val="none"/>
        </w:rPr>
      </w:pPr>
    </w:p>
    <w:p w14:paraId="71898EBB">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bCs/>
          <w:sz w:val="32"/>
          <w:szCs w:val="32"/>
          <w:highlight w:val="none"/>
        </w:rPr>
      </w:pPr>
    </w:p>
    <w:p w14:paraId="49644D3D">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bCs/>
          <w:sz w:val="32"/>
          <w:szCs w:val="32"/>
          <w:highlight w:val="none"/>
        </w:rPr>
      </w:pPr>
    </w:p>
    <w:p w14:paraId="0CA49EA1">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bCs/>
          <w:sz w:val="32"/>
          <w:szCs w:val="32"/>
          <w:highlight w:val="none"/>
        </w:rPr>
      </w:pPr>
    </w:p>
    <w:p w14:paraId="2DE7351A">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bCs/>
          <w:sz w:val="32"/>
          <w:szCs w:val="32"/>
          <w:highlight w:val="none"/>
        </w:rPr>
      </w:pPr>
    </w:p>
    <w:p w14:paraId="468B49A1">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bCs/>
          <w:sz w:val="32"/>
          <w:szCs w:val="32"/>
          <w:highlight w:val="none"/>
        </w:rPr>
      </w:pPr>
    </w:p>
    <w:p w14:paraId="352F472D">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bCs/>
          <w:sz w:val="32"/>
          <w:szCs w:val="32"/>
          <w:highlight w:val="none"/>
        </w:rPr>
      </w:pPr>
    </w:p>
    <w:p w14:paraId="5E40A62B">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bCs/>
          <w:sz w:val="32"/>
          <w:szCs w:val="32"/>
          <w:highlight w:val="none"/>
        </w:rPr>
      </w:pPr>
    </w:p>
    <w:p w14:paraId="3377DD8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w:t>
      </w:r>
      <w:r>
        <w:rPr>
          <w:rFonts w:hint="default" w:ascii="Times New Roman" w:hAnsi="Times New Roman" w:eastAsia="仿宋_GB2312" w:cs="Times New Roman"/>
          <w:bCs/>
          <w:sz w:val="32"/>
          <w:szCs w:val="32"/>
          <w:highlight w:val="none"/>
          <w:lang w:eastAsia="zh-CN"/>
        </w:rPr>
        <w:t>此件公开发布</w:t>
      </w:r>
      <w:r>
        <w:rPr>
          <w:rFonts w:hint="default" w:ascii="Times New Roman" w:hAnsi="Times New Roman" w:eastAsia="仿宋_GB2312" w:cs="Times New Roman"/>
          <w:bCs/>
          <w:sz w:val="32"/>
          <w:szCs w:val="32"/>
          <w:highlight w:val="none"/>
        </w:rPr>
        <w:t>）</w:t>
      </w:r>
    </w:p>
    <w:p w14:paraId="6BD44876">
      <w:pPr>
        <w:keepNext w:val="0"/>
        <w:keepLines w:val="0"/>
        <w:pageBreakBefore w:val="0"/>
        <w:widowControl w:val="0"/>
        <w:kinsoku/>
        <w:wordWrap/>
        <w:overflowPunct/>
        <w:topLinePunct w:val="0"/>
        <w:bidi w:val="0"/>
        <w:spacing w:line="480" w:lineRule="exact"/>
        <w:textAlignment w:val="auto"/>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bCs/>
          <w:sz w:val="32"/>
          <w:szCs w:val="32"/>
          <w:highlight w:val="none"/>
          <w:u w:val="single"/>
        </w:rPr>
        <w:t>抄送:</w:t>
      </w:r>
      <w:r>
        <w:rPr>
          <w:rFonts w:hint="default" w:ascii="Times New Roman" w:hAnsi="Times New Roman" w:eastAsia="仿宋_GB2312" w:cs="Times New Roman"/>
          <w:bCs/>
          <w:sz w:val="32"/>
          <w:szCs w:val="32"/>
          <w:highlight w:val="none"/>
          <w:u w:val="single"/>
          <w:lang w:val="en-US" w:eastAsia="zh-CN"/>
        </w:rPr>
        <w:t>广西维云再生资源回收有限责任公司</w:t>
      </w:r>
      <w:r>
        <w:rPr>
          <w:rFonts w:hint="default" w:ascii="Times New Roman" w:hAnsi="Times New Roman" w:eastAsia="仿宋_GB2312" w:cs="Times New Roman"/>
          <w:bCs/>
          <w:sz w:val="32"/>
          <w:szCs w:val="32"/>
          <w:highlight w:val="none"/>
          <w:u w:val="single"/>
        </w:rPr>
        <w:t xml:space="preserve">                       </w:t>
      </w:r>
    </w:p>
    <w:p w14:paraId="02680392">
      <w:pPr>
        <w:keepNext w:val="0"/>
        <w:keepLines w:val="0"/>
        <w:pageBreakBefore w:val="0"/>
        <w:widowControl w:val="0"/>
        <w:kinsoku/>
        <w:wordWrap/>
        <w:overflowPunct/>
        <w:topLinePunct w:val="0"/>
        <w:bidi w:val="0"/>
        <w:spacing w:line="480" w:lineRule="exact"/>
        <w:ind w:left="6560" w:hanging="6560" w:hangingChars="205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u w:val="single"/>
        </w:rPr>
        <w:t>柳州市柳南区住房和城乡建设局      20</w:t>
      </w:r>
      <w:r>
        <w:rPr>
          <w:rFonts w:hint="default" w:ascii="Times New Roman" w:hAnsi="Times New Roman" w:eastAsia="仿宋_GB2312" w:cs="Times New Roman"/>
          <w:sz w:val="32"/>
          <w:szCs w:val="32"/>
          <w:highlight w:val="none"/>
          <w:u w:val="single"/>
          <w:lang w:val="en-US" w:eastAsia="zh-CN"/>
        </w:rPr>
        <w:t>25</w:t>
      </w:r>
      <w:r>
        <w:rPr>
          <w:rFonts w:hint="default" w:ascii="Times New Roman" w:hAnsi="Times New Roman" w:eastAsia="仿宋_GB2312" w:cs="Times New Roman"/>
          <w:sz w:val="32"/>
          <w:szCs w:val="32"/>
          <w:highlight w:val="none"/>
          <w:u w:val="single"/>
        </w:rPr>
        <w:t>年</w:t>
      </w:r>
      <w:r>
        <w:rPr>
          <w:rFonts w:hint="eastAsia" w:eastAsia="仿宋_GB2312" w:cs="Times New Roman"/>
          <w:sz w:val="32"/>
          <w:szCs w:val="32"/>
          <w:highlight w:val="none"/>
          <w:u w:val="single"/>
          <w:lang w:val="en-US" w:eastAsia="zh-CN"/>
        </w:rPr>
        <w:t>12</w:t>
      </w:r>
      <w:r>
        <w:rPr>
          <w:rFonts w:hint="default" w:ascii="Times New Roman" w:hAnsi="Times New Roman" w:eastAsia="仿宋_GB2312" w:cs="Times New Roman"/>
          <w:sz w:val="32"/>
          <w:szCs w:val="32"/>
          <w:highlight w:val="none"/>
          <w:u w:val="single"/>
        </w:rPr>
        <w:t>月</w:t>
      </w:r>
      <w:r>
        <w:rPr>
          <w:rFonts w:hint="eastAsia" w:eastAsia="仿宋_GB2312" w:cs="Times New Roman"/>
          <w:sz w:val="32"/>
          <w:szCs w:val="32"/>
          <w:highlight w:val="none"/>
          <w:u w:val="single"/>
          <w:lang w:val="en-US" w:eastAsia="zh-CN"/>
        </w:rPr>
        <w:t>2</w:t>
      </w:r>
      <w:r>
        <w:rPr>
          <w:rFonts w:hint="default" w:ascii="Times New Roman" w:hAnsi="Times New Roman" w:eastAsia="仿宋_GB2312" w:cs="Times New Roman"/>
          <w:sz w:val="32"/>
          <w:szCs w:val="32"/>
          <w:highlight w:val="none"/>
          <w:u w:val="single"/>
        </w:rPr>
        <w:t xml:space="preserve">日印  </w:t>
      </w:r>
      <w:r>
        <w:rPr>
          <w:rFonts w:hint="default" w:ascii="Times New Roman" w:hAnsi="Times New Roman" w:eastAsia="仿宋_GB2312" w:cs="Times New Roman"/>
          <w:sz w:val="32"/>
          <w:szCs w:val="32"/>
          <w:highlight w:val="none"/>
        </w:rPr>
        <w:t xml:space="preserve">（共印5份）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TimesNewRoman">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302AC1"/>
    <w:multiLevelType w:val="singleLevel"/>
    <w:tmpl w:val="9D302AC1"/>
    <w:lvl w:ilvl="0" w:tentative="0">
      <w:start w:val="1"/>
      <w:numFmt w:val="chineseCounting"/>
      <w:suff w:val="nothing"/>
      <w:lvlText w:val="（%1）"/>
      <w:lvlJc w:val="left"/>
      <w:rPr>
        <w:rFonts w:hint="eastAsia"/>
      </w:rPr>
    </w:lvl>
  </w:abstractNum>
  <w:abstractNum w:abstractNumId="1">
    <w:nsid w:val="F0AD4D02"/>
    <w:multiLevelType w:val="singleLevel"/>
    <w:tmpl w:val="F0AD4D02"/>
    <w:lvl w:ilvl="0" w:tentative="0">
      <w:start w:val="1"/>
      <w:numFmt w:val="chineseCounting"/>
      <w:suff w:val="nothing"/>
      <w:lvlText w:val="（%1）"/>
      <w:lvlJc w:val="left"/>
      <w:rPr>
        <w:rFonts w:hint="eastAsia"/>
      </w:rPr>
    </w:lvl>
  </w:abstractNum>
  <w:abstractNum w:abstractNumId="2">
    <w:nsid w:val="2DE39FD2"/>
    <w:multiLevelType w:val="singleLevel"/>
    <w:tmpl w:val="2DE39FD2"/>
    <w:lvl w:ilvl="0" w:tentative="0">
      <w:start w:val="1"/>
      <w:numFmt w:val="bullet"/>
      <w:pStyle w:val="17"/>
      <w:lvlText w:val=""/>
      <w:lvlJc w:val="left"/>
      <w:pPr>
        <w:tabs>
          <w:tab w:val="left" w:pos="780"/>
        </w:tabs>
        <w:ind w:left="780" w:hanging="36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iOWYyNWQxNDc0ZTZiYjhiMmMyOWY1ZjEyNjRiYzUifQ=="/>
  </w:docVars>
  <w:rsids>
    <w:rsidRoot w:val="005E2F4A"/>
    <w:rsid w:val="00021697"/>
    <w:rsid w:val="00052CCA"/>
    <w:rsid w:val="00060057"/>
    <w:rsid w:val="00073469"/>
    <w:rsid w:val="000760BE"/>
    <w:rsid w:val="00086B7D"/>
    <w:rsid w:val="00095046"/>
    <w:rsid w:val="00096A01"/>
    <w:rsid w:val="000978F6"/>
    <w:rsid w:val="000A3232"/>
    <w:rsid w:val="000D08DF"/>
    <w:rsid w:val="000E64F7"/>
    <w:rsid w:val="000F1287"/>
    <w:rsid w:val="0010339E"/>
    <w:rsid w:val="00116F16"/>
    <w:rsid w:val="0014349B"/>
    <w:rsid w:val="00145ABD"/>
    <w:rsid w:val="00167963"/>
    <w:rsid w:val="00176411"/>
    <w:rsid w:val="00183460"/>
    <w:rsid w:val="00185840"/>
    <w:rsid w:val="00185F0E"/>
    <w:rsid w:val="00186E55"/>
    <w:rsid w:val="001B00CB"/>
    <w:rsid w:val="001B05D8"/>
    <w:rsid w:val="001C0BF5"/>
    <w:rsid w:val="001D772D"/>
    <w:rsid w:val="001D777A"/>
    <w:rsid w:val="001F34A2"/>
    <w:rsid w:val="001F5ED4"/>
    <w:rsid w:val="00200BCC"/>
    <w:rsid w:val="00213978"/>
    <w:rsid w:val="00214B79"/>
    <w:rsid w:val="0023227B"/>
    <w:rsid w:val="00234B4A"/>
    <w:rsid w:val="00244DCB"/>
    <w:rsid w:val="00254218"/>
    <w:rsid w:val="00256664"/>
    <w:rsid w:val="00257B48"/>
    <w:rsid w:val="00257F07"/>
    <w:rsid w:val="0026391F"/>
    <w:rsid w:val="00274C30"/>
    <w:rsid w:val="00282542"/>
    <w:rsid w:val="00284743"/>
    <w:rsid w:val="0028663F"/>
    <w:rsid w:val="00292E07"/>
    <w:rsid w:val="002A2896"/>
    <w:rsid w:val="002B538D"/>
    <w:rsid w:val="002B587F"/>
    <w:rsid w:val="002B76CD"/>
    <w:rsid w:val="002D55FB"/>
    <w:rsid w:val="002E1C28"/>
    <w:rsid w:val="002E49D4"/>
    <w:rsid w:val="002E7B51"/>
    <w:rsid w:val="002F619D"/>
    <w:rsid w:val="00302239"/>
    <w:rsid w:val="00307E29"/>
    <w:rsid w:val="00316513"/>
    <w:rsid w:val="00321481"/>
    <w:rsid w:val="00321DC5"/>
    <w:rsid w:val="003228D9"/>
    <w:rsid w:val="00324D49"/>
    <w:rsid w:val="003335A0"/>
    <w:rsid w:val="0034409E"/>
    <w:rsid w:val="00346271"/>
    <w:rsid w:val="00351E85"/>
    <w:rsid w:val="0035708D"/>
    <w:rsid w:val="00360BE8"/>
    <w:rsid w:val="00363F5E"/>
    <w:rsid w:val="00366ABC"/>
    <w:rsid w:val="0037026C"/>
    <w:rsid w:val="003732AF"/>
    <w:rsid w:val="00374DCC"/>
    <w:rsid w:val="00381FA9"/>
    <w:rsid w:val="003A0498"/>
    <w:rsid w:val="003A2F86"/>
    <w:rsid w:val="003A6912"/>
    <w:rsid w:val="003C6CCB"/>
    <w:rsid w:val="003D54E8"/>
    <w:rsid w:val="003D76FF"/>
    <w:rsid w:val="003E2CFE"/>
    <w:rsid w:val="003F362C"/>
    <w:rsid w:val="00400E7F"/>
    <w:rsid w:val="0041712B"/>
    <w:rsid w:val="00423A3E"/>
    <w:rsid w:val="00427BF4"/>
    <w:rsid w:val="00437964"/>
    <w:rsid w:val="004565DF"/>
    <w:rsid w:val="00465766"/>
    <w:rsid w:val="00466ACA"/>
    <w:rsid w:val="004748C8"/>
    <w:rsid w:val="004766D2"/>
    <w:rsid w:val="00477B62"/>
    <w:rsid w:val="00477CB1"/>
    <w:rsid w:val="0048742F"/>
    <w:rsid w:val="004A2F4C"/>
    <w:rsid w:val="004A43BE"/>
    <w:rsid w:val="004B052A"/>
    <w:rsid w:val="004B553C"/>
    <w:rsid w:val="004B565B"/>
    <w:rsid w:val="004C154D"/>
    <w:rsid w:val="004D3FAF"/>
    <w:rsid w:val="004D558B"/>
    <w:rsid w:val="004E48B0"/>
    <w:rsid w:val="004F01A5"/>
    <w:rsid w:val="00503BF0"/>
    <w:rsid w:val="0050732A"/>
    <w:rsid w:val="00525D98"/>
    <w:rsid w:val="00536E1E"/>
    <w:rsid w:val="00543035"/>
    <w:rsid w:val="00561FE5"/>
    <w:rsid w:val="00562C5E"/>
    <w:rsid w:val="00564EA4"/>
    <w:rsid w:val="00577CA2"/>
    <w:rsid w:val="005808A0"/>
    <w:rsid w:val="00581B6A"/>
    <w:rsid w:val="0058226A"/>
    <w:rsid w:val="005A079B"/>
    <w:rsid w:val="005A0EFF"/>
    <w:rsid w:val="005A284A"/>
    <w:rsid w:val="005A3921"/>
    <w:rsid w:val="005B0B57"/>
    <w:rsid w:val="005B63E9"/>
    <w:rsid w:val="005B6D4B"/>
    <w:rsid w:val="005B7C5E"/>
    <w:rsid w:val="005C25C5"/>
    <w:rsid w:val="005E2F4A"/>
    <w:rsid w:val="00612C9A"/>
    <w:rsid w:val="00622B57"/>
    <w:rsid w:val="00622E3F"/>
    <w:rsid w:val="00625918"/>
    <w:rsid w:val="006263B9"/>
    <w:rsid w:val="0063386A"/>
    <w:rsid w:val="00636308"/>
    <w:rsid w:val="00636BC3"/>
    <w:rsid w:val="00644183"/>
    <w:rsid w:val="00646F97"/>
    <w:rsid w:val="00656373"/>
    <w:rsid w:val="00656CCD"/>
    <w:rsid w:val="006626EA"/>
    <w:rsid w:val="00667074"/>
    <w:rsid w:val="00667669"/>
    <w:rsid w:val="00680A43"/>
    <w:rsid w:val="0068438E"/>
    <w:rsid w:val="00690B28"/>
    <w:rsid w:val="006B4344"/>
    <w:rsid w:val="006C586A"/>
    <w:rsid w:val="006C601F"/>
    <w:rsid w:val="006C72FD"/>
    <w:rsid w:val="006D0F36"/>
    <w:rsid w:val="006E6955"/>
    <w:rsid w:val="00703C32"/>
    <w:rsid w:val="00705905"/>
    <w:rsid w:val="00721B5D"/>
    <w:rsid w:val="00722EF3"/>
    <w:rsid w:val="00723C81"/>
    <w:rsid w:val="007275F1"/>
    <w:rsid w:val="00743485"/>
    <w:rsid w:val="00744F18"/>
    <w:rsid w:val="007459FB"/>
    <w:rsid w:val="007524BC"/>
    <w:rsid w:val="00766F95"/>
    <w:rsid w:val="00773659"/>
    <w:rsid w:val="00773806"/>
    <w:rsid w:val="00781455"/>
    <w:rsid w:val="007872E5"/>
    <w:rsid w:val="00791B7B"/>
    <w:rsid w:val="00794E3F"/>
    <w:rsid w:val="007A58B4"/>
    <w:rsid w:val="007D02C0"/>
    <w:rsid w:val="007D16D7"/>
    <w:rsid w:val="007E6303"/>
    <w:rsid w:val="007F44FC"/>
    <w:rsid w:val="008036FF"/>
    <w:rsid w:val="00806780"/>
    <w:rsid w:val="00812130"/>
    <w:rsid w:val="00820CB1"/>
    <w:rsid w:val="00822B02"/>
    <w:rsid w:val="00830CCB"/>
    <w:rsid w:val="00831ABE"/>
    <w:rsid w:val="00834DBC"/>
    <w:rsid w:val="00852091"/>
    <w:rsid w:val="008545E3"/>
    <w:rsid w:val="00872BF7"/>
    <w:rsid w:val="00875F29"/>
    <w:rsid w:val="00880CBA"/>
    <w:rsid w:val="008A04F4"/>
    <w:rsid w:val="008A40DF"/>
    <w:rsid w:val="008A532C"/>
    <w:rsid w:val="008D1B0B"/>
    <w:rsid w:val="008D42AA"/>
    <w:rsid w:val="008D57A2"/>
    <w:rsid w:val="008E3E91"/>
    <w:rsid w:val="008E71BD"/>
    <w:rsid w:val="009009DA"/>
    <w:rsid w:val="00904439"/>
    <w:rsid w:val="009113F3"/>
    <w:rsid w:val="00922581"/>
    <w:rsid w:val="00926111"/>
    <w:rsid w:val="00932AA1"/>
    <w:rsid w:val="0093401D"/>
    <w:rsid w:val="00960BFD"/>
    <w:rsid w:val="0096352F"/>
    <w:rsid w:val="00971EA3"/>
    <w:rsid w:val="00990747"/>
    <w:rsid w:val="00995728"/>
    <w:rsid w:val="00997A6F"/>
    <w:rsid w:val="009A7185"/>
    <w:rsid w:val="009B24EC"/>
    <w:rsid w:val="009B4976"/>
    <w:rsid w:val="009C05BA"/>
    <w:rsid w:val="009F792F"/>
    <w:rsid w:val="009F7CDB"/>
    <w:rsid w:val="00A00C73"/>
    <w:rsid w:val="00A020A4"/>
    <w:rsid w:val="00A03B23"/>
    <w:rsid w:val="00A04962"/>
    <w:rsid w:val="00A049B8"/>
    <w:rsid w:val="00A12F5C"/>
    <w:rsid w:val="00A15343"/>
    <w:rsid w:val="00A23332"/>
    <w:rsid w:val="00A25530"/>
    <w:rsid w:val="00A26238"/>
    <w:rsid w:val="00A32A24"/>
    <w:rsid w:val="00A348E1"/>
    <w:rsid w:val="00A41275"/>
    <w:rsid w:val="00A414E8"/>
    <w:rsid w:val="00A425CE"/>
    <w:rsid w:val="00A42E88"/>
    <w:rsid w:val="00A575ED"/>
    <w:rsid w:val="00A57CD6"/>
    <w:rsid w:val="00A6485A"/>
    <w:rsid w:val="00A667D8"/>
    <w:rsid w:val="00A66BE9"/>
    <w:rsid w:val="00A70E4C"/>
    <w:rsid w:val="00A71BC9"/>
    <w:rsid w:val="00A758B0"/>
    <w:rsid w:val="00A75E19"/>
    <w:rsid w:val="00A76030"/>
    <w:rsid w:val="00A965E7"/>
    <w:rsid w:val="00A97321"/>
    <w:rsid w:val="00AA2703"/>
    <w:rsid w:val="00AB6F64"/>
    <w:rsid w:val="00AC71C6"/>
    <w:rsid w:val="00AC7E0C"/>
    <w:rsid w:val="00AD4FF1"/>
    <w:rsid w:val="00AE3F6B"/>
    <w:rsid w:val="00AF212F"/>
    <w:rsid w:val="00B045AD"/>
    <w:rsid w:val="00B06014"/>
    <w:rsid w:val="00B10CD0"/>
    <w:rsid w:val="00B34614"/>
    <w:rsid w:val="00B5706D"/>
    <w:rsid w:val="00B57575"/>
    <w:rsid w:val="00B628D9"/>
    <w:rsid w:val="00B9160D"/>
    <w:rsid w:val="00B9276D"/>
    <w:rsid w:val="00B95ABD"/>
    <w:rsid w:val="00B96D44"/>
    <w:rsid w:val="00BA59C6"/>
    <w:rsid w:val="00BA614F"/>
    <w:rsid w:val="00BA7527"/>
    <w:rsid w:val="00BC3100"/>
    <w:rsid w:val="00BD16F1"/>
    <w:rsid w:val="00BD3072"/>
    <w:rsid w:val="00BE6F87"/>
    <w:rsid w:val="00BF72C8"/>
    <w:rsid w:val="00C1440B"/>
    <w:rsid w:val="00C342D6"/>
    <w:rsid w:val="00C36BEA"/>
    <w:rsid w:val="00C43B08"/>
    <w:rsid w:val="00C465D9"/>
    <w:rsid w:val="00C51836"/>
    <w:rsid w:val="00C558B2"/>
    <w:rsid w:val="00C63588"/>
    <w:rsid w:val="00C64D5B"/>
    <w:rsid w:val="00C84D51"/>
    <w:rsid w:val="00C900F1"/>
    <w:rsid w:val="00CA02B2"/>
    <w:rsid w:val="00CB4083"/>
    <w:rsid w:val="00CB577A"/>
    <w:rsid w:val="00CB7FDE"/>
    <w:rsid w:val="00CF1FFE"/>
    <w:rsid w:val="00CF58B5"/>
    <w:rsid w:val="00D12D1D"/>
    <w:rsid w:val="00D25FC3"/>
    <w:rsid w:val="00D27D84"/>
    <w:rsid w:val="00D32176"/>
    <w:rsid w:val="00D33369"/>
    <w:rsid w:val="00D34830"/>
    <w:rsid w:val="00D4286E"/>
    <w:rsid w:val="00D5180A"/>
    <w:rsid w:val="00D63CF2"/>
    <w:rsid w:val="00D676CC"/>
    <w:rsid w:val="00D716B6"/>
    <w:rsid w:val="00D75307"/>
    <w:rsid w:val="00D767E2"/>
    <w:rsid w:val="00D775D3"/>
    <w:rsid w:val="00D77A18"/>
    <w:rsid w:val="00D9312A"/>
    <w:rsid w:val="00DB4B46"/>
    <w:rsid w:val="00DB75CF"/>
    <w:rsid w:val="00DC3AA5"/>
    <w:rsid w:val="00DC44FE"/>
    <w:rsid w:val="00DD037C"/>
    <w:rsid w:val="00DD1AB9"/>
    <w:rsid w:val="00DF3650"/>
    <w:rsid w:val="00DF55B5"/>
    <w:rsid w:val="00E007DF"/>
    <w:rsid w:val="00E0528B"/>
    <w:rsid w:val="00E1042A"/>
    <w:rsid w:val="00E17BF9"/>
    <w:rsid w:val="00E21A74"/>
    <w:rsid w:val="00E21EC2"/>
    <w:rsid w:val="00E24A8C"/>
    <w:rsid w:val="00E250C7"/>
    <w:rsid w:val="00E30FDE"/>
    <w:rsid w:val="00E31762"/>
    <w:rsid w:val="00E3345B"/>
    <w:rsid w:val="00E444E8"/>
    <w:rsid w:val="00E45320"/>
    <w:rsid w:val="00E47C5D"/>
    <w:rsid w:val="00E54DF2"/>
    <w:rsid w:val="00E67F23"/>
    <w:rsid w:val="00E7368D"/>
    <w:rsid w:val="00EA0C67"/>
    <w:rsid w:val="00EA10E3"/>
    <w:rsid w:val="00EB1A2D"/>
    <w:rsid w:val="00EC5E15"/>
    <w:rsid w:val="00ED21C0"/>
    <w:rsid w:val="00EF069F"/>
    <w:rsid w:val="00EF6C55"/>
    <w:rsid w:val="00EF7B92"/>
    <w:rsid w:val="00F23AD0"/>
    <w:rsid w:val="00F2420B"/>
    <w:rsid w:val="00F32C3F"/>
    <w:rsid w:val="00F47E66"/>
    <w:rsid w:val="00F52D82"/>
    <w:rsid w:val="00F53585"/>
    <w:rsid w:val="00F55502"/>
    <w:rsid w:val="00F668D3"/>
    <w:rsid w:val="00F6766B"/>
    <w:rsid w:val="00F6767D"/>
    <w:rsid w:val="00F72F6F"/>
    <w:rsid w:val="00F77300"/>
    <w:rsid w:val="00F83645"/>
    <w:rsid w:val="00F836A7"/>
    <w:rsid w:val="00F84F86"/>
    <w:rsid w:val="00F8650F"/>
    <w:rsid w:val="00F927BF"/>
    <w:rsid w:val="00F95070"/>
    <w:rsid w:val="00FA210B"/>
    <w:rsid w:val="00FA498B"/>
    <w:rsid w:val="00FA547C"/>
    <w:rsid w:val="00FB2F3B"/>
    <w:rsid w:val="00FC508D"/>
    <w:rsid w:val="00FD0DD4"/>
    <w:rsid w:val="00FD1F2F"/>
    <w:rsid w:val="00FF6141"/>
    <w:rsid w:val="02C2662E"/>
    <w:rsid w:val="034C108A"/>
    <w:rsid w:val="039F7766"/>
    <w:rsid w:val="05DB6044"/>
    <w:rsid w:val="06897CEC"/>
    <w:rsid w:val="0725366F"/>
    <w:rsid w:val="073D0CEA"/>
    <w:rsid w:val="087B3986"/>
    <w:rsid w:val="098E0F0D"/>
    <w:rsid w:val="0A140428"/>
    <w:rsid w:val="0A825391"/>
    <w:rsid w:val="0AD33E3F"/>
    <w:rsid w:val="0B322AEE"/>
    <w:rsid w:val="0C28640C"/>
    <w:rsid w:val="0D0A36D3"/>
    <w:rsid w:val="0DD979BE"/>
    <w:rsid w:val="0E193B58"/>
    <w:rsid w:val="0E825B45"/>
    <w:rsid w:val="0ED63EFE"/>
    <w:rsid w:val="0EE16BCE"/>
    <w:rsid w:val="0FCB77DB"/>
    <w:rsid w:val="105570A4"/>
    <w:rsid w:val="106B68C8"/>
    <w:rsid w:val="10C43FC4"/>
    <w:rsid w:val="11032FA4"/>
    <w:rsid w:val="11AF0294"/>
    <w:rsid w:val="11B61DC5"/>
    <w:rsid w:val="11D41A0D"/>
    <w:rsid w:val="12777C21"/>
    <w:rsid w:val="136E0BA9"/>
    <w:rsid w:val="1450031E"/>
    <w:rsid w:val="14FE2D02"/>
    <w:rsid w:val="152C321E"/>
    <w:rsid w:val="155E0007"/>
    <w:rsid w:val="1605397D"/>
    <w:rsid w:val="16A86180"/>
    <w:rsid w:val="16AA1116"/>
    <w:rsid w:val="16C10A84"/>
    <w:rsid w:val="16C51429"/>
    <w:rsid w:val="16F35D17"/>
    <w:rsid w:val="17107F49"/>
    <w:rsid w:val="17D11706"/>
    <w:rsid w:val="17E21B65"/>
    <w:rsid w:val="182C1B6F"/>
    <w:rsid w:val="18DD79DA"/>
    <w:rsid w:val="19044132"/>
    <w:rsid w:val="194D3C5A"/>
    <w:rsid w:val="1968435D"/>
    <w:rsid w:val="19C628F2"/>
    <w:rsid w:val="19DE0D88"/>
    <w:rsid w:val="19E43C53"/>
    <w:rsid w:val="1A22361D"/>
    <w:rsid w:val="1B285D84"/>
    <w:rsid w:val="1B753BAD"/>
    <w:rsid w:val="1C3B56FF"/>
    <w:rsid w:val="1DCF392B"/>
    <w:rsid w:val="1E904A05"/>
    <w:rsid w:val="1F947BE9"/>
    <w:rsid w:val="1FA55C42"/>
    <w:rsid w:val="201A0616"/>
    <w:rsid w:val="214F23B9"/>
    <w:rsid w:val="21AF4D97"/>
    <w:rsid w:val="22107AF3"/>
    <w:rsid w:val="227D5AB9"/>
    <w:rsid w:val="22CA64DE"/>
    <w:rsid w:val="2322375E"/>
    <w:rsid w:val="241C7C15"/>
    <w:rsid w:val="24797E84"/>
    <w:rsid w:val="24984001"/>
    <w:rsid w:val="24E7488D"/>
    <w:rsid w:val="268C261C"/>
    <w:rsid w:val="26B23143"/>
    <w:rsid w:val="26BD5C77"/>
    <w:rsid w:val="278B7B24"/>
    <w:rsid w:val="27EA640F"/>
    <w:rsid w:val="28B333B3"/>
    <w:rsid w:val="296A096C"/>
    <w:rsid w:val="2A1D0C95"/>
    <w:rsid w:val="2B0B2D29"/>
    <w:rsid w:val="2BCE11F9"/>
    <w:rsid w:val="2C797D2C"/>
    <w:rsid w:val="2C900DC4"/>
    <w:rsid w:val="2D2105E2"/>
    <w:rsid w:val="2D8E4CAC"/>
    <w:rsid w:val="2DF301D1"/>
    <w:rsid w:val="2F4862FA"/>
    <w:rsid w:val="2F7964B4"/>
    <w:rsid w:val="2FE06F5C"/>
    <w:rsid w:val="30215916"/>
    <w:rsid w:val="31A44F7F"/>
    <w:rsid w:val="32286DF5"/>
    <w:rsid w:val="32611140"/>
    <w:rsid w:val="34A907E2"/>
    <w:rsid w:val="34DF1850"/>
    <w:rsid w:val="35412833"/>
    <w:rsid w:val="35452190"/>
    <w:rsid w:val="377C2FE5"/>
    <w:rsid w:val="37B6045A"/>
    <w:rsid w:val="37F54B45"/>
    <w:rsid w:val="38974A61"/>
    <w:rsid w:val="391D0E1C"/>
    <w:rsid w:val="39B20D32"/>
    <w:rsid w:val="3A872F58"/>
    <w:rsid w:val="3AE01ADD"/>
    <w:rsid w:val="3AE36557"/>
    <w:rsid w:val="3B057795"/>
    <w:rsid w:val="3C08753D"/>
    <w:rsid w:val="3CC135BB"/>
    <w:rsid w:val="3D3A1978"/>
    <w:rsid w:val="3DB83181"/>
    <w:rsid w:val="3DFD6E67"/>
    <w:rsid w:val="3E3618FD"/>
    <w:rsid w:val="3F6A01CE"/>
    <w:rsid w:val="41790595"/>
    <w:rsid w:val="43A37AE8"/>
    <w:rsid w:val="4427285B"/>
    <w:rsid w:val="44BD4C3D"/>
    <w:rsid w:val="45FB73D1"/>
    <w:rsid w:val="46137514"/>
    <w:rsid w:val="469D24D8"/>
    <w:rsid w:val="46B04A59"/>
    <w:rsid w:val="46D02A05"/>
    <w:rsid w:val="47A03C5C"/>
    <w:rsid w:val="47CC4E46"/>
    <w:rsid w:val="48763A80"/>
    <w:rsid w:val="48A10AB6"/>
    <w:rsid w:val="49AF37E6"/>
    <w:rsid w:val="4A0965AB"/>
    <w:rsid w:val="4A83494B"/>
    <w:rsid w:val="4B5D2140"/>
    <w:rsid w:val="4CC936C0"/>
    <w:rsid w:val="4E0F6509"/>
    <w:rsid w:val="4F8D1DDB"/>
    <w:rsid w:val="5205214A"/>
    <w:rsid w:val="525E7C7D"/>
    <w:rsid w:val="526D06D4"/>
    <w:rsid w:val="52C233B4"/>
    <w:rsid w:val="52D45DE7"/>
    <w:rsid w:val="53C70732"/>
    <w:rsid w:val="542E3BC1"/>
    <w:rsid w:val="54A34A39"/>
    <w:rsid w:val="54C96FEB"/>
    <w:rsid w:val="5601221F"/>
    <w:rsid w:val="56DA167E"/>
    <w:rsid w:val="578154FB"/>
    <w:rsid w:val="58022C3B"/>
    <w:rsid w:val="59E9604F"/>
    <w:rsid w:val="5A166161"/>
    <w:rsid w:val="5B9205A6"/>
    <w:rsid w:val="5B9718EC"/>
    <w:rsid w:val="5C961BA3"/>
    <w:rsid w:val="5D480125"/>
    <w:rsid w:val="5F6D12E1"/>
    <w:rsid w:val="62035F2D"/>
    <w:rsid w:val="62202D67"/>
    <w:rsid w:val="62DA7FF6"/>
    <w:rsid w:val="62FB7672"/>
    <w:rsid w:val="64E657CB"/>
    <w:rsid w:val="656247EA"/>
    <w:rsid w:val="65781572"/>
    <w:rsid w:val="661D4273"/>
    <w:rsid w:val="664D59C9"/>
    <w:rsid w:val="665678E4"/>
    <w:rsid w:val="66A568DD"/>
    <w:rsid w:val="6722430F"/>
    <w:rsid w:val="672E75A8"/>
    <w:rsid w:val="677D5E3A"/>
    <w:rsid w:val="681744E0"/>
    <w:rsid w:val="68E02B24"/>
    <w:rsid w:val="690A7375"/>
    <w:rsid w:val="69577F3C"/>
    <w:rsid w:val="6999168A"/>
    <w:rsid w:val="6A6A3884"/>
    <w:rsid w:val="6B313FC9"/>
    <w:rsid w:val="6DCB2635"/>
    <w:rsid w:val="6E290536"/>
    <w:rsid w:val="6E4F18D4"/>
    <w:rsid w:val="6FD846C8"/>
    <w:rsid w:val="70B14DA6"/>
    <w:rsid w:val="720F7F81"/>
    <w:rsid w:val="72562F3F"/>
    <w:rsid w:val="72F813C2"/>
    <w:rsid w:val="73817134"/>
    <w:rsid w:val="73A3506C"/>
    <w:rsid w:val="746556C1"/>
    <w:rsid w:val="760022F0"/>
    <w:rsid w:val="76FB2842"/>
    <w:rsid w:val="77383E58"/>
    <w:rsid w:val="77413963"/>
    <w:rsid w:val="77517C95"/>
    <w:rsid w:val="788F2290"/>
    <w:rsid w:val="78B91F59"/>
    <w:rsid w:val="78D571F1"/>
    <w:rsid w:val="79393B8B"/>
    <w:rsid w:val="79A90E1C"/>
    <w:rsid w:val="7B79675D"/>
    <w:rsid w:val="7CA00156"/>
    <w:rsid w:val="7CD2057E"/>
    <w:rsid w:val="7D503F01"/>
    <w:rsid w:val="7D537BE3"/>
    <w:rsid w:val="7D8D518A"/>
    <w:rsid w:val="7DA91E54"/>
    <w:rsid w:val="7EDB7D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qFormat="1" w:uiPriority="99"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59"/>
    <w:qFormat/>
    <w:uiPriority w:val="0"/>
    <w:pPr>
      <w:keepNext/>
      <w:overflowPunct w:val="0"/>
      <w:snapToGrid w:val="0"/>
      <w:spacing w:before="120" w:after="160" w:line="259" w:lineRule="auto"/>
      <w:ind w:left="432" w:hanging="432"/>
      <w:outlineLvl w:val="0"/>
    </w:pPr>
    <w:rPr>
      <w:rFonts w:eastAsia="黑体"/>
      <w:bCs/>
      <w:color w:val="000000"/>
      <w:kern w:val="44"/>
      <w:sz w:val="30"/>
      <w:szCs w:val="30"/>
    </w:rPr>
  </w:style>
  <w:style w:type="paragraph" w:styleId="4">
    <w:name w:val="heading 2"/>
    <w:basedOn w:val="1"/>
    <w:next w:val="1"/>
    <w:unhideWhenUsed/>
    <w:qFormat/>
    <w:uiPriority w:val="9"/>
    <w:pPr>
      <w:keepNext/>
      <w:keepLines/>
      <w:ind w:firstLine="643"/>
      <w:outlineLvl w:val="1"/>
    </w:pPr>
    <w:rPr>
      <w:rFonts w:eastAsia="楷体" w:cs="Times New Roman"/>
      <w:b/>
      <w:bCs/>
      <w:szCs w:val="32"/>
    </w:rPr>
  </w:style>
  <w:style w:type="paragraph" w:styleId="5">
    <w:name w:val="heading 4"/>
    <w:basedOn w:val="1"/>
    <w:next w:val="1"/>
    <w:link w:val="60"/>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qFormat/>
    <w:uiPriority w:val="0"/>
    <w:pPr>
      <w:jc w:val="center"/>
      <w:outlineLvl w:val="0"/>
    </w:pPr>
    <w:rPr>
      <w:rFonts w:ascii="Arial" w:hAnsi="Arial"/>
      <w:b/>
      <w:sz w:val="32"/>
    </w:rPr>
  </w:style>
  <w:style w:type="paragraph" w:styleId="6">
    <w:name w:val="E-mail Signature"/>
    <w:basedOn w:val="1"/>
    <w:next w:val="7"/>
    <w:unhideWhenUsed/>
    <w:qFormat/>
    <w:uiPriority w:val="99"/>
    <w:pPr>
      <w:widowControl w:val="0"/>
      <w:autoSpaceDE/>
      <w:autoSpaceDN/>
      <w:spacing w:before="0" w:after="0" w:line="460" w:lineRule="exact"/>
      <w:ind w:left="0" w:firstLine="200"/>
      <w:jc w:val="both"/>
    </w:pPr>
    <w:rPr>
      <w:rFonts w:ascii="Times New Roman" w:eastAsia="宋体"/>
      <w:sz w:val="24"/>
    </w:rPr>
  </w:style>
  <w:style w:type="paragraph" w:customStyle="1" w:styleId="7">
    <w:name w:val="文章"/>
    <w:basedOn w:val="1"/>
    <w:next w:val="8"/>
    <w:qFormat/>
    <w:uiPriority w:val="0"/>
    <w:pPr>
      <w:widowControl/>
      <w:autoSpaceDE/>
      <w:autoSpaceDN/>
      <w:spacing w:before="0" w:after="0" w:line="240" w:lineRule="auto"/>
      <w:ind w:left="0" w:firstLine="480"/>
      <w:jc w:val="center"/>
    </w:pPr>
    <w:rPr>
      <w:rFonts w:ascii="Times New Roman" w:eastAsia="宋体"/>
      <w:sz w:val="26"/>
    </w:rPr>
  </w:style>
  <w:style w:type="paragraph" w:styleId="8">
    <w:name w:val="List"/>
    <w:basedOn w:val="1"/>
    <w:qFormat/>
    <w:uiPriority w:val="0"/>
    <w:pPr>
      <w:spacing w:line="360" w:lineRule="auto"/>
      <w:ind w:left="200" w:hanging="200"/>
    </w:pPr>
    <w:rPr>
      <w:color w:val="000000"/>
      <w:kern w:val="0"/>
    </w:rPr>
  </w:style>
  <w:style w:type="paragraph" w:styleId="9">
    <w:name w:val="Normal Indent"/>
    <w:basedOn w:val="10"/>
    <w:next w:val="11"/>
    <w:qFormat/>
    <w:uiPriority w:val="0"/>
    <w:pPr>
      <w:ind w:firstLine="420" w:firstLineChars="200"/>
    </w:pPr>
  </w:style>
  <w:style w:type="paragraph" w:customStyle="1" w:styleId="10">
    <w:name w:val="文本"/>
    <w:basedOn w:val="1"/>
    <w:next w:val="1"/>
    <w:qFormat/>
    <w:uiPriority w:val="99"/>
    <w:pPr>
      <w:widowControl/>
      <w:spacing w:line="440" w:lineRule="exact"/>
      <w:jc w:val="left"/>
    </w:pPr>
  </w:style>
  <w:style w:type="paragraph" w:styleId="11">
    <w:name w:val="Body Text First Indent 2"/>
    <w:basedOn w:val="12"/>
    <w:next w:val="14"/>
    <w:qFormat/>
    <w:uiPriority w:val="0"/>
    <w:pPr>
      <w:tabs>
        <w:tab w:val="left" w:pos="-213"/>
      </w:tabs>
      <w:ind w:firstLine="420" w:firstLineChars="200"/>
    </w:pPr>
  </w:style>
  <w:style w:type="paragraph" w:styleId="12">
    <w:name w:val="Body Text Indent"/>
    <w:basedOn w:val="1"/>
    <w:next w:val="13"/>
    <w:link w:val="44"/>
    <w:qFormat/>
    <w:uiPriority w:val="0"/>
    <w:pPr>
      <w:spacing w:line="480" w:lineRule="exact"/>
      <w:ind w:firstLine="560"/>
    </w:pPr>
    <w:rPr>
      <w:rFonts w:ascii="宋体" w:hAnsi="宋体"/>
      <w:sz w:val="28"/>
    </w:rPr>
  </w:style>
  <w:style w:type="paragraph" w:styleId="13">
    <w:name w:val="envelope return"/>
    <w:basedOn w:val="1"/>
    <w:unhideWhenUsed/>
    <w:qFormat/>
    <w:uiPriority w:val="99"/>
    <w:pPr>
      <w:snapToGrid w:val="0"/>
      <w:ind w:firstLine="723"/>
      <w:jc w:val="left"/>
    </w:pPr>
    <w:rPr>
      <w:rFonts w:ascii="Arial" w:hAnsi="Arial" w:cs="宋体"/>
    </w:rPr>
  </w:style>
  <w:style w:type="paragraph" w:styleId="14">
    <w:name w:val="Body Text First Indent"/>
    <w:basedOn w:val="15"/>
    <w:link w:val="42"/>
    <w:qFormat/>
    <w:uiPriority w:val="0"/>
    <w:pPr>
      <w:spacing w:after="120"/>
      <w:ind w:firstLine="420" w:firstLineChars="100"/>
    </w:pPr>
  </w:style>
  <w:style w:type="paragraph" w:styleId="15">
    <w:name w:val="Body Text"/>
    <w:basedOn w:val="1"/>
    <w:link w:val="41"/>
    <w:qFormat/>
    <w:uiPriority w:val="0"/>
    <w:rPr>
      <w:b/>
      <w:sz w:val="32"/>
    </w:rPr>
  </w:style>
  <w:style w:type="paragraph" w:styleId="16">
    <w:name w:val="annotation text"/>
    <w:basedOn w:val="1"/>
    <w:link w:val="57"/>
    <w:qFormat/>
    <w:uiPriority w:val="0"/>
    <w:pPr>
      <w:jc w:val="left"/>
    </w:pPr>
    <w:rPr>
      <w:kern w:val="0"/>
      <w:sz w:val="24"/>
      <w:szCs w:val="20"/>
    </w:rPr>
  </w:style>
  <w:style w:type="paragraph" w:styleId="17">
    <w:name w:val="List Bullet 2"/>
    <w:basedOn w:val="1"/>
    <w:next w:val="18"/>
    <w:qFormat/>
    <w:uiPriority w:val="0"/>
    <w:pPr>
      <w:numPr>
        <w:ilvl w:val="0"/>
        <w:numId w:val="1"/>
      </w:numPr>
    </w:pPr>
  </w:style>
  <w:style w:type="paragraph" w:customStyle="1" w:styleId="18">
    <w:name w:val="xl70"/>
    <w:basedOn w:val="1"/>
    <w:next w:val="19"/>
    <w:qFormat/>
    <w:uiPriority w:val="0"/>
    <w:pPr>
      <w:widowControl/>
      <w:autoSpaceDE/>
      <w:autoSpaceDN/>
      <w:spacing w:before="280" w:after="280" w:line="240" w:lineRule="auto"/>
      <w:ind w:left="0" w:firstLine="0"/>
    </w:pPr>
    <w:rPr>
      <w:rFonts w:ascii="宋体" w:eastAsia="宋体"/>
      <w:sz w:val="24"/>
    </w:rPr>
  </w:style>
  <w:style w:type="paragraph" w:customStyle="1" w:styleId="19">
    <w:name w:val="正文缩进1"/>
    <w:basedOn w:val="1"/>
    <w:next w:val="20"/>
    <w:qFormat/>
    <w:uiPriority w:val="0"/>
    <w:pPr>
      <w:widowControl w:val="0"/>
      <w:autoSpaceDE/>
      <w:autoSpaceDN/>
      <w:spacing w:before="0" w:after="0" w:line="360" w:lineRule="auto"/>
      <w:ind w:left="0" w:firstLine="420"/>
      <w:jc w:val="both"/>
    </w:pPr>
    <w:rPr>
      <w:rFonts w:ascii="宋体" w:eastAsia="宋体"/>
      <w:sz w:val="28"/>
    </w:rPr>
  </w:style>
  <w:style w:type="paragraph" w:customStyle="1" w:styleId="20">
    <w:name w:val="td1"/>
    <w:basedOn w:val="1"/>
    <w:next w:val="1"/>
    <w:qFormat/>
    <w:uiPriority w:val="0"/>
    <w:pPr>
      <w:widowControl/>
      <w:autoSpaceDE/>
      <w:autoSpaceDN/>
      <w:spacing w:before="280" w:after="280" w:line="300" w:lineRule="atLeast"/>
      <w:ind w:left="0" w:firstLine="200"/>
    </w:pPr>
    <w:rPr>
      <w:rFonts w:ascii="Times New Roman" w:eastAsia="宋体"/>
      <w:color w:val="000000"/>
      <w:sz w:val="18"/>
    </w:rPr>
  </w:style>
  <w:style w:type="paragraph" w:styleId="21">
    <w:name w:val="Body Text Indent 2"/>
    <w:basedOn w:val="1"/>
    <w:next w:val="1"/>
    <w:qFormat/>
    <w:uiPriority w:val="0"/>
    <w:pPr>
      <w:spacing w:line="460" w:lineRule="exact"/>
      <w:ind w:firstLine="480" w:firstLineChars="200"/>
    </w:pPr>
    <w:rPr>
      <w:color w:val="FF0000"/>
      <w:sz w:val="24"/>
    </w:rPr>
  </w:style>
  <w:style w:type="paragraph" w:styleId="22">
    <w:name w:val="footer"/>
    <w:basedOn w:val="1"/>
    <w:link w:val="40"/>
    <w:qFormat/>
    <w:uiPriority w:val="0"/>
    <w:pPr>
      <w:tabs>
        <w:tab w:val="center" w:pos="4153"/>
        <w:tab w:val="right" w:pos="8306"/>
      </w:tabs>
      <w:snapToGrid w:val="0"/>
      <w:jc w:val="left"/>
    </w:pPr>
    <w:rPr>
      <w:sz w:val="18"/>
      <w:szCs w:val="18"/>
    </w:rPr>
  </w:style>
  <w:style w:type="paragraph" w:styleId="23">
    <w:name w:val="header"/>
    <w:basedOn w:val="1"/>
    <w:next w:val="24"/>
    <w:link w:val="39"/>
    <w:qFormat/>
    <w:uiPriority w:val="0"/>
    <w:pPr>
      <w:pBdr>
        <w:bottom w:val="single" w:color="auto" w:sz="6" w:space="1"/>
      </w:pBdr>
      <w:tabs>
        <w:tab w:val="center" w:pos="4153"/>
        <w:tab w:val="right" w:pos="8306"/>
      </w:tabs>
      <w:snapToGrid w:val="0"/>
      <w:jc w:val="center"/>
    </w:pPr>
    <w:rPr>
      <w:sz w:val="18"/>
      <w:szCs w:val="18"/>
    </w:rPr>
  </w:style>
  <w:style w:type="paragraph" w:customStyle="1" w:styleId="24">
    <w:name w:val="样式 Z正文 + 首行缩进:  2 字符1"/>
    <w:basedOn w:val="25"/>
    <w:qFormat/>
    <w:uiPriority w:val="0"/>
    <w:pPr>
      <w:ind w:firstLine="480"/>
    </w:pPr>
    <w:rPr>
      <w:rFonts w:cs="宋体"/>
    </w:rPr>
  </w:style>
  <w:style w:type="paragraph" w:customStyle="1" w:styleId="25">
    <w:name w:val="Z正文"/>
    <w:basedOn w:val="26"/>
    <w:qFormat/>
    <w:uiPriority w:val="0"/>
    <w:pPr>
      <w:ind w:firstLine="200" w:firstLineChars="200"/>
      <w:outlineLvl w:val="9"/>
    </w:pPr>
    <w:rPr>
      <w:rFonts w:ascii="Times New Roman"/>
      <w:sz w:val="24"/>
      <w:szCs w:val="24"/>
    </w:rPr>
  </w:style>
  <w:style w:type="paragraph" w:customStyle="1" w:styleId="26">
    <w:name w:val="样式 标题 1标题 11Head 1wsah1一、标题2Part'Document章Ch + 加粗"/>
    <w:basedOn w:val="2"/>
    <w:qFormat/>
    <w:uiPriority w:val="0"/>
    <w:rPr>
      <w:rFonts w:ascii="黑体"/>
      <w:sz w:val="32"/>
    </w:rPr>
  </w:style>
  <w:style w:type="paragraph" w:styleId="27">
    <w:name w:val="toc 2"/>
    <w:basedOn w:val="1"/>
    <w:next w:val="6"/>
    <w:qFormat/>
    <w:uiPriority w:val="39"/>
    <w:pPr>
      <w:ind w:left="210"/>
      <w:jc w:val="left"/>
    </w:pPr>
    <w:rPr>
      <w:rFonts w:ascii="Calibri" w:hAnsi="Calibri"/>
      <w:smallCaps/>
      <w:sz w:val="20"/>
      <w:szCs w:val="20"/>
    </w:rPr>
  </w:style>
  <w:style w:type="paragraph" w:styleId="28">
    <w:name w:val="Body Text 2"/>
    <w:basedOn w:val="1"/>
    <w:qFormat/>
    <w:uiPriority w:val="0"/>
    <w:pPr>
      <w:widowControl w:val="0"/>
      <w:spacing w:line="600" w:lineRule="exact"/>
      <w:jc w:val="center"/>
    </w:pPr>
    <w:rPr>
      <w:rFonts w:ascii="方正小标宋简体" w:hAnsi="Times New Roman" w:eastAsia="方正小标宋简体" w:cs="Times New Roman"/>
      <w:bCs/>
      <w:kern w:val="2"/>
      <w:sz w:val="44"/>
      <w:szCs w:val="44"/>
      <w:lang w:val="en-US" w:eastAsia="zh-CN" w:bidi="ar-SA"/>
    </w:rPr>
  </w:style>
  <w:style w:type="paragraph" w:styleId="29">
    <w:name w:val="Normal (Web)"/>
    <w:basedOn w:val="1"/>
    <w:link w:val="58"/>
    <w:qFormat/>
    <w:uiPriority w:val="99"/>
    <w:pPr>
      <w:widowControl/>
      <w:spacing w:before="100" w:beforeAutospacing="1" w:after="100" w:afterAutospacing="1"/>
      <w:jc w:val="left"/>
    </w:pPr>
    <w:rPr>
      <w:rFonts w:ascii="宋体" w:hAnsi="宋体"/>
      <w:kern w:val="0"/>
      <w:sz w:val="24"/>
      <w:szCs w:val="20"/>
    </w:rPr>
  </w:style>
  <w:style w:type="table" w:styleId="31">
    <w:name w:val="Table Grid"/>
    <w:basedOn w:val="3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annotation reference"/>
    <w:semiHidden/>
    <w:qFormat/>
    <w:uiPriority w:val="0"/>
    <w:rPr>
      <w:sz w:val="21"/>
      <w:szCs w:val="21"/>
    </w:rPr>
  </w:style>
  <w:style w:type="paragraph" w:customStyle="1" w:styleId="34">
    <w:name w:val="报告正文"/>
    <w:basedOn w:val="1"/>
    <w:qFormat/>
    <w:uiPriority w:val="0"/>
    <w:pPr>
      <w:spacing w:line="360" w:lineRule="auto"/>
      <w:ind w:firstLine="200" w:firstLineChars="200"/>
    </w:pPr>
    <w:rPr>
      <w:rFonts w:cs="宋体"/>
      <w:color w:val="000000"/>
    </w:rPr>
  </w:style>
  <w:style w:type="paragraph" w:customStyle="1" w:styleId="35">
    <w:name w:val="样式5"/>
    <w:qFormat/>
    <w:uiPriority w:val="0"/>
    <w:pPr>
      <w:snapToGrid w:val="0"/>
      <w:spacing w:line="360" w:lineRule="auto"/>
      <w:ind w:firstLine="510"/>
    </w:pPr>
    <w:rPr>
      <w:rFonts w:ascii="Calibri" w:hAnsi="Calibri" w:eastAsia="宋体" w:cs="Times New Roman"/>
      <w:sz w:val="24"/>
      <w:szCs w:val="24"/>
      <w:lang w:val="en-US" w:eastAsia="zh-CN" w:bidi="ar-SA"/>
    </w:rPr>
  </w:style>
  <w:style w:type="paragraph" w:customStyle="1" w:styleId="36">
    <w:name w:val="Default"/>
    <w:next w:val="37"/>
    <w:qFormat/>
    <w:uiPriority w:val="0"/>
    <w:pPr>
      <w:widowControl w:val="0"/>
      <w:autoSpaceDE w:val="0"/>
      <w:autoSpaceDN w:val="0"/>
      <w:adjustRightInd w:val="0"/>
    </w:pPr>
    <w:rPr>
      <w:rFonts w:ascii="宋体" w:hAnsi="等线" w:eastAsia="等线" w:cs="宋体"/>
      <w:color w:val="000000"/>
      <w:sz w:val="24"/>
      <w:szCs w:val="24"/>
      <w:lang w:val="en-US" w:eastAsia="zh-CN" w:bidi="ar-SA"/>
    </w:rPr>
  </w:style>
  <w:style w:type="paragraph" w:customStyle="1" w:styleId="37">
    <w:name w:val="样式35"/>
    <w:basedOn w:val="1"/>
    <w:next w:val="38"/>
    <w:qFormat/>
    <w:uiPriority w:val="0"/>
    <w:pPr>
      <w:widowControl w:val="0"/>
      <w:autoSpaceDE/>
      <w:autoSpaceDN/>
      <w:spacing w:before="0" w:after="0" w:line="312" w:lineRule="auto"/>
      <w:ind w:left="0" w:firstLine="567"/>
      <w:jc w:val="both"/>
    </w:pPr>
    <w:rPr>
      <w:rFonts w:ascii="宋体" w:eastAsia="宋体"/>
      <w:sz w:val="28"/>
    </w:rPr>
  </w:style>
  <w:style w:type="paragraph" w:customStyle="1" w:styleId="38">
    <w:name w:val="font6"/>
    <w:basedOn w:val="1"/>
    <w:next w:val="27"/>
    <w:qFormat/>
    <w:uiPriority w:val="0"/>
    <w:pPr>
      <w:widowControl/>
      <w:autoSpaceDE/>
      <w:autoSpaceDN/>
      <w:spacing w:before="280" w:after="280" w:line="240" w:lineRule="auto"/>
      <w:ind w:left="0" w:firstLine="0"/>
    </w:pPr>
    <w:rPr>
      <w:rFonts w:ascii="Times New Roman" w:eastAsia="宋体"/>
      <w:sz w:val="21"/>
    </w:rPr>
  </w:style>
  <w:style w:type="character" w:customStyle="1" w:styleId="39">
    <w:name w:val="页眉 Char"/>
    <w:basedOn w:val="32"/>
    <w:link w:val="23"/>
    <w:qFormat/>
    <w:uiPriority w:val="0"/>
    <w:rPr>
      <w:kern w:val="2"/>
      <w:sz w:val="18"/>
      <w:szCs w:val="18"/>
    </w:rPr>
  </w:style>
  <w:style w:type="character" w:customStyle="1" w:styleId="40">
    <w:name w:val="页脚 Char"/>
    <w:basedOn w:val="32"/>
    <w:link w:val="22"/>
    <w:qFormat/>
    <w:uiPriority w:val="0"/>
    <w:rPr>
      <w:kern w:val="2"/>
      <w:sz w:val="18"/>
      <w:szCs w:val="18"/>
    </w:rPr>
  </w:style>
  <w:style w:type="character" w:customStyle="1" w:styleId="41">
    <w:name w:val="正文文本 Char"/>
    <w:basedOn w:val="32"/>
    <w:link w:val="15"/>
    <w:qFormat/>
    <w:uiPriority w:val="0"/>
    <w:rPr>
      <w:b/>
      <w:kern w:val="2"/>
      <w:sz w:val="32"/>
    </w:rPr>
  </w:style>
  <w:style w:type="character" w:customStyle="1" w:styleId="42">
    <w:name w:val="正文首行缩进 Char"/>
    <w:basedOn w:val="41"/>
    <w:link w:val="14"/>
    <w:qFormat/>
    <w:uiPriority w:val="0"/>
  </w:style>
  <w:style w:type="paragraph" w:customStyle="1" w:styleId="43">
    <w:name w:val="Char Char3"/>
    <w:basedOn w:val="1"/>
    <w:qFormat/>
    <w:uiPriority w:val="0"/>
    <w:rPr>
      <w:szCs w:val="20"/>
    </w:rPr>
  </w:style>
  <w:style w:type="character" w:customStyle="1" w:styleId="44">
    <w:name w:val="正文文本缩进 Char"/>
    <w:link w:val="12"/>
    <w:qFormat/>
    <w:locked/>
    <w:uiPriority w:val="0"/>
    <w:rPr>
      <w:rFonts w:ascii="宋体" w:hAnsi="宋体"/>
      <w:kern w:val="2"/>
      <w:sz w:val="28"/>
      <w:szCs w:val="24"/>
    </w:rPr>
  </w:style>
  <w:style w:type="paragraph" w:customStyle="1" w:styleId="45">
    <w:name w:val="+正文"/>
    <w:basedOn w:val="1"/>
    <w:qFormat/>
    <w:uiPriority w:val="0"/>
    <w:pPr>
      <w:widowControl/>
      <w:spacing w:line="360" w:lineRule="auto"/>
      <w:ind w:firstLine="200" w:firstLineChars="200"/>
      <w:jc w:val="left"/>
    </w:pPr>
    <w:rPr>
      <w:kern w:val="0"/>
      <w:sz w:val="24"/>
      <w:szCs w:val="28"/>
    </w:rPr>
  </w:style>
  <w:style w:type="paragraph" w:customStyle="1" w:styleId="46">
    <w:name w:val="123456"/>
    <w:basedOn w:val="1"/>
    <w:qFormat/>
    <w:uiPriority w:val="0"/>
    <w:pPr>
      <w:spacing w:before="120" w:after="120" w:line="360" w:lineRule="auto"/>
      <w:ind w:firstLine="200" w:firstLineChars="200"/>
    </w:pPr>
    <w:rPr>
      <w:sz w:val="24"/>
    </w:rPr>
  </w:style>
  <w:style w:type="paragraph" w:customStyle="1" w:styleId="47">
    <w:name w:val="正文标准样式"/>
    <w:basedOn w:val="1"/>
    <w:qFormat/>
    <w:uiPriority w:val="0"/>
    <w:pPr>
      <w:adjustRightInd w:val="0"/>
      <w:spacing w:line="300" w:lineRule="auto"/>
      <w:ind w:firstLine="482"/>
    </w:pPr>
    <w:rPr>
      <w:kern w:val="0"/>
      <w:sz w:val="24"/>
      <w:szCs w:val="20"/>
    </w:rPr>
  </w:style>
  <w:style w:type="character" w:customStyle="1" w:styleId="48">
    <w:name w:val="页眉 Char1"/>
    <w:basedOn w:val="32"/>
    <w:qFormat/>
    <w:uiPriority w:val="0"/>
  </w:style>
  <w:style w:type="paragraph" w:customStyle="1" w:styleId="49">
    <w:name w:val="正文(首行缩进)"/>
    <w:basedOn w:val="1"/>
    <w:qFormat/>
    <w:uiPriority w:val="0"/>
    <w:pPr>
      <w:adjustRightInd w:val="0"/>
      <w:snapToGrid w:val="0"/>
      <w:spacing w:line="360" w:lineRule="auto"/>
      <w:ind w:firstLine="200" w:firstLineChars="200"/>
      <w:jc w:val="left"/>
    </w:pPr>
    <w:rPr>
      <w:rFonts w:ascii="宋体" w:hAnsi="宋体" w:cs="宋体"/>
      <w:snapToGrid w:val="0"/>
      <w:kern w:val="0"/>
      <w:sz w:val="24"/>
    </w:rPr>
  </w:style>
  <w:style w:type="paragraph" w:customStyle="1" w:styleId="50">
    <w:name w:val="Normal Indent1"/>
    <w:basedOn w:val="1"/>
    <w:qFormat/>
    <w:uiPriority w:val="0"/>
    <w:pPr>
      <w:ind w:firstLine="420"/>
    </w:pPr>
  </w:style>
  <w:style w:type="character" w:customStyle="1" w:styleId="51">
    <w:name w:val="正文缩进2字符 Char"/>
    <w:link w:val="52"/>
    <w:qFormat/>
    <w:uiPriority w:val="0"/>
    <w:rPr>
      <w:sz w:val="24"/>
    </w:rPr>
  </w:style>
  <w:style w:type="paragraph" w:customStyle="1" w:styleId="52">
    <w:name w:val="正文缩进2字符"/>
    <w:basedOn w:val="1"/>
    <w:link w:val="51"/>
    <w:qFormat/>
    <w:uiPriority w:val="0"/>
    <w:pPr>
      <w:spacing w:line="360" w:lineRule="auto"/>
      <w:ind w:firstLine="720" w:firstLineChars="200"/>
    </w:pPr>
    <w:rPr>
      <w:kern w:val="0"/>
      <w:sz w:val="24"/>
      <w:szCs w:val="20"/>
    </w:rPr>
  </w:style>
  <w:style w:type="character" w:customStyle="1" w:styleId="53">
    <w:name w:val="第一章表格 Char"/>
    <w:link w:val="54"/>
    <w:qFormat/>
    <w:uiPriority w:val="0"/>
    <w:rPr>
      <w:sz w:val="24"/>
    </w:rPr>
  </w:style>
  <w:style w:type="paragraph" w:customStyle="1" w:styleId="54">
    <w:name w:val="表格"/>
    <w:basedOn w:val="8"/>
    <w:link w:val="53"/>
    <w:qFormat/>
    <w:uiPriority w:val="0"/>
    <w:pPr>
      <w:jc w:val="center"/>
    </w:pPr>
    <w:rPr>
      <w:kern w:val="0"/>
      <w:sz w:val="24"/>
      <w:szCs w:val="20"/>
    </w:rPr>
  </w:style>
  <w:style w:type="character" w:customStyle="1" w:styleId="55">
    <w:name w:val="fontstyle01"/>
    <w:basedOn w:val="32"/>
    <w:qFormat/>
    <w:uiPriority w:val="0"/>
    <w:rPr>
      <w:rFonts w:ascii="宋体" w:hAnsi="宋体" w:eastAsia="宋体" w:cs="宋体"/>
      <w:color w:val="000000"/>
      <w:sz w:val="24"/>
      <w:szCs w:val="24"/>
    </w:rPr>
  </w:style>
  <w:style w:type="character" w:customStyle="1" w:styleId="56">
    <w:name w:val="fontstyle31"/>
    <w:basedOn w:val="32"/>
    <w:qFormat/>
    <w:uiPriority w:val="0"/>
    <w:rPr>
      <w:rFonts w:hint="default" w:ascii="TimesNewRoman" w:hAnsi="TimesNewRoman" w:eastAsia="TimesNewRoman" w:cs="TimesNewRoman"/>
      <w:color w:val="000000"/>
      <w:sz w:val="24"/>
      <w:szCs w:val="24"/>
    </w:rPr>
  </w:style>
  <w:style w:type="character" w:customStyle="1" w:styleId="57">
    <w:name w:val="批注文字 Char"/>
    <w:basedOn w:val="32"/>
    <w:link w:val="16"/>
    <w:qFormat/>
    <w:uiPriority w:val="0"/>
    <w:rPr>
      <w:sz w:val="24"/>
    </w:rPr>
  </w:style>
  <w:style w:type="character" w:customStyle="1" w:styleId="58">
    <w:name w:val="普通(网站) Char"/>
    <w:link w:val="29"/>
    <w:qFormat/>
    <w:locked/>
    <w:uiPriority w:val="0"/>
    <w:rPr>
      <w:rFonts w:ascii="宋体" w:hAnsi="宋体"/>
      <w:sz w:val="24"/>
    </w:rPr>
  </w:style>
  <w:style w:type="character" w:customStyle="1" w:styleId="59">
    <w:name w:val="标题 1 Char"/>
    <w:basedOn w:val="32"/>
    <w:link w:val="2"/>
    <w:qFormat/>
    <w:uiPriority w:val="0"/>
    <w:rPr>
      <w:rFonts w:eastAsia="黑体"/>
      <w:b/>
      <w:bCs/>
      <w:color w:val="000000"/>
      <w:kern w:val="44"/>
      <w:sz w:val="30"/>
      <w:szCs w:val="30"/>
    </w:rPr>
  </w:style>
  <w:style w:type="character" w:customStyle="1" w:styleId="60">
    <w:name w:val="标题 4 Char"/>
    <w:basedOn w:val="32"/>
    <w:link w:val="5"/>
    <w:semiHidden/>
    <w:qFormat/>
    <w:uiPriority w:val="0"/>
    <w:rPr>
      <w:rFonts w:asciiTheme="majorHAnsi" w:hAnsiTheme="majorHAnsi" w:eastAsiaTheme="majorEastAsia" w:cstheme="majorBidi"/>
      <w:b/>
      <w:bCs/>
      <w:kern w:val="2"/>
      <w:sz w:val="28"/>
      <w:szCs w:val="28"/>
    </w:rPr>
  </w:style>
  <w:style w:type="paragraph" w:customStyle="1" w:styleId="61">
    <w:name w:val="A表内"/>
    <w:basedOn w:val="62"/>
    <w:next w:val="1"/>
    <w:qFormat/>
    <w:uiPriority w:val="0"/>
    <w:pPr>
      <w:spacing w:line="240" w:lineRule="auto"/>
      <w:jc w:val="center"/>
    </w:pPr>
    <w:rPr>
      <w:sz w:val="21"/>
    </w:rPr>
  </w:style>
  <w:style w:type="paragraph" w:customStyle="1" w:styleId="62">
    <w:name w:val="A表头"/>
    <w:basedOn w:val="1"/>
    <w:next w:val="1"/>
    <w:qFormat/>
    <w:uiPriority w:val="0"/>
    <w:pPr>
      <w:spacing w:beforeLines="50" w:line="240" w:lineRule="atLeast"/>
      <w:jc w:val="left"/>
    </w:pPr>
    <w:rPr>
      <w:rFonts w:eastAsia="黑体" w:cs="宋体"/>
      <w:sz w:val="22"/>
      <w:szCs w:val="20"/>
    </w:rPr>
  </w:style>
  <w:style w:type="paragraph" w:customStyle="1" w:styleId="63">
    <w:name w:val="表中表"/>
    <w:basedOn w:val="1"/>
    <w:qFormat/>
    <w:uiPriority w:val="0"/>
    <w:pPr>
      <w:jc w:val="center"/>
    </w:pPr>
    <w:rPr>
      <w:rFonts w:ascii="Times New Roman" w:hAnsi="Times New Roman" w:eastAsia="宋体"/>
      <w:szCs w:val="21"/>
    </w:rPr>
  </w:style>
  <w:style w:type="paragraph" w:customStyle="1" w:styleId="64">
    <w:name w:val="文中表格"/>
    <w:basedOn w:val="1"/>
    <w:next w:val="1"/>
    <w:qFormat/>
    <w:uiPriority w:val="0"/>
    <w:pPr>
      <w:spacing w:line="240" w:lineRule="auto"/>
      <w:ind w:firstLine="0" w:firstLineChars="0"/>
      <w:jc w:val="center"/>
    </w:pPr>
    <w:rPr>
      <w:kern w:val="0"/>
      <w:sz w:val="21"/>
      <w:szCs w:val="21"/>
      <w:lang w:eastAsia="en-US" w:bidi="en-US"/>
    </w:rPr>
  </w:style>
  <w:style w:type="paragraph" w:styleId="65">
    <w:name w:val="List Paragraph"/>
    <w:basedOn w:val="1"/>
    <w:qFormat/>
    <w:uiPriority w:val="34"/>
    <w:pPr>
      <w:ind w:firstLine="0" w:firstLineChars="0"/>
    </w:pPr>
  </w:style>
  <w:style w:type="paragraph" w:customStyle="1" w:styleId="66">
    <w:name w:val="正文01"/>
    <w:basedOn w:val="1"/>
    <w:qFormat/>
    <w:uiPriority w:val="0"/>
    <w:pPr>
      <w:spacing w:before="60" w:line="460" w:lineRule="exact"/>
      <w:ind w:firstLine="200" w:firstLineChars="200"/>
    </w:pPr>
    <w:rPr>
      <w:rFonts w:ascii="Arial" w:hAnsi="Arial"/>
      <w:color w:val="000000"/>
      <w:spacing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WIN</Company>
  <Pages>4</Pages>
  <Words>1799</Words>
  <Characters>1970</Characters>
  <Lines>13</Lines>
  <Paragraphs>3</Paragraphs>
  <TotalTime>56</TotalTime>
  <ScaleCrop>false</ScaleCrop>
  <LinksUpToDate>false</LinksUpToDate>
  <CharactersWithSpaces>2013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2022-12-02T09:32:00Z</dcterms:created>
  <dc:creator>Administrator</dc:creator>
  <cp:lastModifiedBy>Rancho</cp:lastModifiedBy>
  <cp:lastPrinted>2025-08-25T07:23:00Z</cp:lastPrinted>
  <dcterms:modified xsi:type="dcterms:W3CDTF">2025-12-02T02:05:28Z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9CE2A09F268B40F1ACC4258E6535D37F_13</vt:lpwstr>
  </property>
  <property fmtid="{D5CDD505-2E9C-101B-9397-08002B2CF9AE}" pid="4" name="KSOTemplateDocerSaveRecord">
    <vt:lpwstr>eyJoZGlkIjoiNGJjMTQ3MjlhOTIzYzA2NWY1OTQ3ODRjNDEzZWExZGMiLCJ1c2VySWQiOiI1NTk4NDAzOTcifQ==</vt:lpwstr>
  </property>
</Properties>
</file>