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B64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245110</wp:posOffset>
                </wp:positionV>
                <wp:extent cx="6741160" cy="1286510"/>
                <wp:effectExtent l="0" t="0" r="254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5737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AC5BB3">
                            <w:pPr>
                              <w:jc w:val="center"/>
                              <w:rPr>
                                <w:color w:val="FF0000"/>
                                <w:spacing w:val="-20"/>
                                <w:position w:val="-6"/>
                                <w:sz w:val="96"/>
                                <w:szCs w:val="160"/>
                              </w:rPr>
                            </w:pPr>
                          </w:p>
                          <w:p w14:paraId="411DEACA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7C5A912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343CCC70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53068F5C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  <w:p w14:paraId="0F0B1E93">
                            <w:pPr>
                              <w:rPr>
                                <w:color w:val="FF0000"/>
                                <w:sz w:val="96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8pt;margin-top:19.3pt;height:101.3pt;width:530.8pt;z-index:251660288;mso-width-relative:page;mso-height-relative:page;" fillcolor="#FCFCFC" filled="t" stroked="f" coordsize="21600,21600" o:gfxdata="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eW1L9gA&#10;AAAKAQAADwAAAAAAAAABACAAAAAiAAAAZHJzL2Rvd25yZXYueG1sUEsBAhQAFAAAAAgAh07iQGo8&#10;CyJYAgAAngQAAA4AAAAAAAAAAQAgAAAAJ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AC5BB3">
                      <w:pPr>
                        <w:jc w:val="center"/>
                        <w:rPr>
                          <w:color w:val="FF0000"/>
                          <w:spacing w:val="-20"/>
                          <w:position w:val="-6"/>
                          <w:sz w:val="96"/>
                          <w:szCs w:val="160"/>
                        </w:rPr>
                      </w:pPr>
                    </w:p>
                    <w:p w14:paraId="411DEACA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7C5A9125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343CCC70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53068F5C">
                      <w:pPr>
                        <w:jc w:val="center"/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  <w:p w14:paraId="0F0B1E93">
                      <w:pPr>
                        <w:rPr>
                          <w:color w:val="FF0000"/>
                          <w:sz w:val="96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E2A42"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u w:val="single"/>
        </w:rPr>
      </w:pPr>
    </w:p>
    <w:p w14:paraId="0601DE1D">
      <w:pPr>
        <w:spacing w:line="600" w:lineRule="exact"/>
        <w:jc w:val="center"/>
        <w:rPr>
          <w:rFonts w:ascii="仿宋" w:hAnsi="仿宋" w:eastAsia="仿宋" w:cs="仿宋"/>
          <w:sz w:val="32"/>
        </w:rPr>
      </w:pPr>
    </w:p>
    <w:p w14:paraId="5FC9CED1">
      <w:pPr>
        <w:spacing w:line="600" w:lineRule="exact"/>
        <w:rPr>
          <w:rFonts w:ascii="仿宋" w:hAnsi="仿宋" w:eastAsia="仿宋" w:cs="仿宋"/>
          <w:sz w:val="32"/>
        </w:rPr>
      </w:pPr>
    </w:p>
    <w:p w14:paraId="5303FEEC">
      <w:pPr>
        <w:spacing w:line="600" w:lineRule="exact"/>
        <w:jc w:val="center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柳南审环审字〔20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号</w:t>
      </w:r>
    </w:p>
    <w:p w14:paraId="0A509971">
      <w:pPr>
        <w:pStyle w:val="16"/>
        <w:spacing w:line="540" w:lineRule="exac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39370</wp:posOffset>
                </wp:positionV>
                <wp:extent cx="6369050" cy="0"/>
                <wp:effectExtent l="0" t="9525" r="1270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910" y="274447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9pt;margin-top:3.1pt;height:0pt;width:501.5pt;z-index:251659264;mso-width-relative:page;mso-height-relative:page;" filled="f" stroked="t" coordsize="21600,21600" o:gfxdata="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/SlKdMAAAAHAQAADwAAAAAAAAABACAAAAAiAAAAZHJzL2Rvd25yZXYueG1sUEsB&#10;AhQAFAAAAAgAh07iQBI0mFj6AQAAzAMAAA4AAAAAAAAAAQAgAAAAIgEAAGRycy9lMm9Eb2MueG1s&#10;UEsFBgAAAAAGAAYAWQEAAI4FAAAAAA==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2E6D2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关于广西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柳州市新锋源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养殖基地项目环境影响报告表的批复</w:t>
      </w:r>
    </w:p>
    <w:p w14:paraId="0BA83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 w14:paraId="67E7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广西柳州市新锋源牛蛙养殖专业合作社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2928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你单位报来《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柳州市新锋源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养殖基地项目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》（以下简称《报告表》）及相关材料收悉。经我局审核，现批复如下：</w:t>
      </w:r>
    </w:p>
    <w:p w14:paraId="20D86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一、项目租赁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柳南区洛满镇凤山村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占地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面积为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34784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平方米，主要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牛蛙养殖区、办公生活区、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蓄水池两个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污水处理设施一套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项目建成后年产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斤牛蛙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项目计划总投资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万元，其中环保投资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15954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内陆养殖项目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，根据《产业结构调整指导目录（2024年本）》，本项目不属于鼓励类、限制类和淘汰类项目，为允许建设项目。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柳州市柳南区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发展和改革局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以“项目代码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-450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-04-0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892396</w:t>
      </w:r>
      <w:r>
        <w:rPr>
          <w:rFonts w:hint="eastAsia" w:ascii="仿宋_GB2312" w:hAnsi="仿宋_GB2312" w:eastAsia="仿宋_GB2312" w:cs="仿宋_GB2312"/>
          <w:sz w:val="32"/>
          <w:szCs w:val="32"/>
        </w:rPr>
        <w:t>”准予项目备案，因此本项目建设符合国家及地方产业政策。</w:t>
      </w:r>
    </w:p>
    <w:p w14:paraId="30ED9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环境影响评价法》、《建设项目环境保护管理条例》及《广西壮族自治区环境保护条例》中有关规定，本项目建设前应进行环境影响评价。根据《建设项目环境影响评价分类管理名录》（2021年版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本项目属于“三、渔业 04-5 内陆养殖 0412-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网箱、围网投饵养殖；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涉及环境敏感区的”项目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，项目应编制环境影响报告表。</w:t>
      </w:r>
    </w:p>
    <w:p w14:paraId="6FF1E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从环境影响角度考虑，同意你单位按照报告表所列的建设项目的地点、性质、规模、采取的环境保护对策措施及下述要求进行项目建设。</w:t>
      </w:r>
    </w:p>
    <w:p w14:paraId="3F54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二、项目须达到报告表所提出的各项环保要求，要抓好以下环保工作： </w:t>
      </w:r>
    </w:p>
    <w:p w14:paraId="3CC5F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1、废气处理：</w:t>
      </w:r>
    </w:p>
    <w:p w14:paraId="49ED2304"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项目主要废气为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养殖过程及污水处理站产生的恶臭味、运输车辆废气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养殖过程中的臭气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属于无组织排放，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项目场地开阔，通风条件好，周边都是植被，无组织恶臭经过稀释扩散和植被吸收后对周围环境影响小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蛙池保持水体流动状态且一旦发生死蛙立即捕捞，减少恶臭现象。</w:t>
      </w:r>
    </w:p>
    <w:p w14:paraId="3852E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2、废水影响处理：</w:t>
      </w:r>
    </w:p>
    <w:p w14:paraId="042CD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项目主要废水为生活污水及生产废水。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生活污水经排污管道进入化粪池进行处理后定期抽排用于周边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林地施肥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，生活污水不外排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本项目养殖尾水经“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格栅池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调节池+溶气气浮机+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中间水池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+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厌氧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池+生物净化池+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二沉池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+消毒池+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生态净化塘”处理后全部回用于生产用水不外排。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养殖尾水经过污水处理站处理后，养殖尾水进入生态净化塘中，生态净化池内投放有鱼和种植有莲藕等净水水生生物，可以有效降解水中的污染物，养殖尾水经过净化后进入循环水池抽回蛙池使用，实现养殖废水不外排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项目养殖废水中各污染物排放浓度均满足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《淡水池塘养殖水排放要求》（SC/T9101-2007）二级标准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/>
        </w:rPr>
        <w:t>限值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及《农田灌溉水质标准》（GB5084-2021）表1及表2农田灌溉水质排放限值（旱地作物）。</w:t>
      </w:r>
    </w:p>
    <w:p w14:paraId="1BA1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3、噪声影响处理：</w:t>
      </w:r>
    </w:p>
    <w:p w14:paraId="212DD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项目主要噪声为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</w:rPr>
        <w:t>牛蛙叫声、水泵和气浮机噪音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。牛蛙噪声通过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大只蛙集中在项目中部，避免蛙长时间处于饥饿状态；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机械噪声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通过采取基础减振、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厂房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隔声等措施及经过距离衰减后，项目各厂界昼间噪声贡献值能够符合《工业企业厂界环境噪声排放标准》（GB12348-2008）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类[昼间：≤6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dB（A）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夜间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：≤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dB（A）]标准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.</w:t>
      </w:r>
    </w:p>
    <w:p w14:paraId="0BA7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4、固废处理：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项目产生的固体废物主要有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饲料包装袋、药品包装袋、污水处理站污泥浮渣、清塘淤泥、病死牛蛙及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皮、废弃遮阳网及防护网、生活垃圾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。</w:t>
      </w:r>
    </w:p>
    <w:p w14:paraId="32B8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饲料包装袋收集后定期外售回收站处置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；药品包装袋：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项目为淡水牛蛙养殖，需定期对水质、环境消毒，对牛蛙疫病等进行预防，需要使用少量药品，即买即用，通过交由有危险废物处置资质的单位处理；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病死蛙：设置安全填埋井1个，容积约为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20m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，病死蛙经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none"/>
        </w:rPr>
        <w:t>填埋井填埋无害化处理，填埋井防渗防漏处理，井口加盖密封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；清塘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淤泥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</w:rPr>
        <w:t>清理后直接外运用于周边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林地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</w:rPr>
        <w:t>施肥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废弃遮阳网及防护网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收集后外售至废品收购站。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生活垃圾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分类收集后定期交由环卫部门统一清运处置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一般工业固体废弃物处理措施和处置方案满足《一般工业固体废物贮存和填埋污染控制标准》（GB18599-2020）要求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，危险废物按照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GB18597-20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《危险废物贮存污染控制标准》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eastAsia="zh-CN"/>
        </w:rPr>
        <w:t>要求。</w:t>
      </w:r>
    </w:p>
    <w:p w14:paraId="566D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(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)按照《关于印发〈企业事业单位突发环境事件应急预案备案管理办法(试行)〉的通知》(环发〔2015〕4号)等相关要求，制订应急预案，配备相应的应急保障物资，落实环境风险防范措施，定期进行应急演练。加强环境管理，落实环境保护规章制度，确保环保设施的正常运转以及各项污染物稳定达标排放。</w:t>
      </w:r>
    </w:p>
    <w:p w14:paraId="365E7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 xml:space="preserve">四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 </w:t>
      </w:r>
    </w:p>
    <w:p w14:paraId="75B75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</w:rPr>
        <w:t>五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09DD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68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4B3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</w:t>
      </w:r>
    </w:p>
    <w:p w14:paraId="16497B9E">
      <w:pPr>
        <w:pStyle w:val="33"/>
        <w:rPr>
          <w:rFonts w:hint="eastAsia"/>
          <w:lang w:val="en-US" w:eastAsia="zh-CN"/>
        </w:rPr>
      </w:pPr>
    </w:p>
    <w:p w14:paraId="53C8C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BD90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377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此件公开发布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 w14:paraId="6BD44876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抄送: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广西佰佰卫环保科技有限公司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</w:t>
      </w:r>
    </w:p>
    <w:p w14:paraId="02680392">
      <w:pPr>
        <w:spacing w:line="580" w:lineRule="exact"/>
        <w:ind w:left="6560" w:hanging="6560" w:hangingChars="20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柳州市柳南区住房和城乡建设局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（共印5份）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39FD2"/>
    <w:multiLevelType w:val="singleLevel"/>
    <w:tmpl w:val="2DE39FD2"/>
    <w:lvl w:ilvl="0" w:tentative="0">
      <w:start w:val="1"/>
      <w:numFmt w:val="bullet"/>
      <w:pStyle w:val="1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WYyNWQxNDc0ZTZiYjhiMmMyOWY1ZjEyNjRiYzUifQ=="/>
  </w:docVars>
  <w:rsids>
    <w:rsidRoot w:val="005E2F4A"/>
    <w:rsid w:val="00021697"/>
    <w:rsid w:val="00052CCA"/>
    <w:rsid w:val="00060057"/>
    <w:rsid w:val="00073469"/>
    <w:rsid w:val="000760BE"/>
    <w:rsid w:val="00086B7D"/>
    <w:rsid w:val="00095046"/>
    <w:rsid w:val="00096A01"/>
    <w:rsid w:val="000978F6"/>
    <w:rsid w:val="000A3232"/>
    <w:rsid w:val="000D08DF"/>
    <w:rsid w:val="000E64F7"/>
    <w:rsid w:val="000F1287"/>
    <w:rsid w:val="0010339E"/>
    <w:rsid w:val="00116F16"/>
    <w:rsid w:val="0014349B"/>
    <w:rsid w:val="00145ABD"/>
    <w:rsid w:val="00167963"/>
    <w:rsid w:val="00176411"/>
    <w:rsid w:val="00183460"/>
    <w:rsid w:val="00185840"/>
    <w:rsid w:val="00185F0E"/>
    <w:rsid w:val="00186E55"/>
    <w:rsid w:val="001B00CB"/>
    <w:rsid w:val="001B05D8"/>
    <w:rsid w:val="001C0BF5"/>
    <w:rsid w:val="001D772D"/>
    <w:rsid w:val="001D777A"/>
    <w:rsid w:val="001F34A2"/>
    <w:rsid w:val="001F5ED4"/>
    <w:rsid w:val="00200BCC"/>
    <w:rsid w:val="00213978"/>
    <w:rsid w:val="00214B79"/>
    <w:rsid w:val="0023227B"/>
    <w:rsid w:val="00234B4A"/>
    <w:rsid w:val="00244DCB"/>
    <w:rsid w:val="00254218"/>
    <w:rsid w:val="00256664"/>
    <w:rsid w:val="00257B48"/>
    <w:rsid w:val="00257F07"/>
    <w:rsid w:val="0026391F"/>
    <w:rsid w:val="00274C30"/>
    <w:rsid w:val="00282542"/>
    <w:rsid w:val="00284743"/>
    <w:rsid w:val="0028663F"/>
    <w:rsid w:val="00292E07"/>
    <w:rsid w:val="002A2896"/>
    <w:rsid w:val="002B538D"/>
    <w:rsid w:val="002B587F"/>
    <w:rsid w:val="002B76CD"/>
    <w:rsid w:val="002D55FB"/>
    <w:rsid w:val="002E1C28"/>
    <w:rsid w:val="002E49D4"/>
    <w:rsid w:val="002E7B51"/>
    <w:rsid w:val="002F619D"/>
    <w:rsid w:val="00302239"/>
    <w:rsid w:val="00307E29"/>
    <w:rsid w:val="00316513"/>
    <w:rsid w:val="00321481"/>
    <w:rsid w:val="00321DC5"/>
    <w:rsid w:val="003228D9"/>
    <w:rsid w:val="00324D49"/>
    <w:rsid w:val="003335A0"/>
    <w:rsid w:val="0034409E"/>
    <w:rsid w:val="00346271"/>
    <w:rsid w:val="00351E85"/>
    <w:rsid w:val="0035708D"/>
    <w:rsid w:val="00360BE8"/>
    <w:rsid w:val="00363F5E"/>
    <w:rsid w:val="00366ABC"/>
    <w:rsid w:val="0037026C"/>
    <w:rsid w:val="003732AF"/>
    <w:rsid w:val="00374DCC"/>
    <w:rsid w:val="00381FA9"/>
    <w:rsid w:val="003A0498"/>
    <w:rsid w:val="003A2F86"/>
    <w:rsid w:val="003A6912"/>
    <w:rsid w:val="003C6CCB"/>
    <w:rsid w:val="003D54E8"/>
    <w:rsid w:val="003D76FF"/>
    <w:rsid w:val="003E2CFE"/>
    <w:rsid w:val="003F362C"/>
    <w:rsid w:val="00400E7F"/>
    <w:rsid w:val="0041712B"/>
    <w:rsid w:val="00423A3E"/>
    <w:rsid w:val="00427BF4"/>
    <w:rsid w:val="00437964"/>
    <w:rsid w:val="004565DF"/>
    <w:rsid w:val="00465766"/>
    <w:rsid w:val="00466ACA"/>
    <w:rsid w:val="004748C8"/>
    <w:rsid w:val="004766D2"/>
    <w:rsid w:val="00477B62"/>
    <w:rsid w:val="00477CB1"/>
    <w:rsid w:val="0048742F"/>
    <w:rsid w:val="004A2F4C"/>
    <w:rsid w:val="004A43BE"/>
    <w:rsid w:val="004B052A"/>
    <w:rsid w:val="004B553C"/>
    <w:rsid w:val="004B565B"/>
    <w:rsid w:val="004C154D"/>
    <w:rsid w:val="004D3FAF"/>
    <w:rsid w:val="004D558B"/>
    <w:rsid w:val="004E48B0"/>
    <w:rsid w:val="004F01A5"/>
    <w:rsid w:val="00503BF0"/>
    <w:rsid w:val="0050732A"/>
    <w:rsid w:val="00525D98"/>
    <w:rsid w:val="00536E1E"/>
    <w:rsid w:val="00543035"/>
    <w:rsid w:val="00561FE5"/>
    <w:rsid w:val="00562C5E"/>
    <w:rsid w:val="00564EA4"/>
    <w:rsid w:val="00577CA2"/>
    <w:rsid w:val="005808A0"/>
    <w:rsid w:val="00581B6A"/>
    <w:rsid w:val="0058226A"/>
    <w:rsid w:val="005A079B"/>
    <w:rsid w:val="005A0EFF"/>
    <w:rsid w:val="005A284A"/>
    <w:rsid w:val="005A3921"/>
    <w:rsid w:val="005B0B57"/>
    <w:rsid w:val="005B63E9"/>
    <w:rsid w:val="005B6D4B"/>
    <w:rsid w:val="005B7C5E"/>
    <w:rsid w:val="005C25C5"/>
    <w:rsid w:val="005E2F4A"/>
    <w:rsid w:val="00612C9A"/>
    <w:rsid w:val="00622B57"/>
    <w:rsid w:val="00622E3F"/>
    <w:rsid w:val="00625918"/>
    <w:rsid w:val="006263B9"/>
    <w:rsid w:val="0063386A"/>
    <w:rsid w:val="00636308"/>
    <w:rsid w:val="00636BC3"/>
    <w:rsid w:val="00644183"/>
    <w:rsid w:val="00646F97"/>
    <w:rsid w:val="00656373"/>
    <w:rsid w:val="00656CCD"/>
    <w:rsid w:val="006626EA"/>
    <w:rsid w:val="00667074"/>
    <w:rsid w:val="00667669"/>
    <w:rsid w:val="00680A43"/>
    <w:rsid w:val="0068438E"/>
    <w:rsid w:val="00690B28"/>
    <w:rsid w:val="006B4344"/>
    <w:rsid w:val="006C586A"/>
    <w:rsid w:val="006C601F"/>
    <w:rsid w:val="006C72FD"/>
    <w:rsid w:val="006D0F36"/>
    <w:rsid w:val="006E6955"/>
    <w:rsid w:val="00703C32"/>
    <w:rsid w:val="00705905"/>
    <w:rsid w:val="00721B5D"/>
    <w:rsid w:val="00722EF3"/>
    <w:rsid w:val="00723C81"/>
    <w:rsid w:val="007275F1"/>
    <w:rsid w:val="00743485"/>
    <w:rsid w:val="00744F18"/>
    <w:rsid w:val="007459FB"/>
    <w:rsid w:val="007524BC"/>
    <w:rsid w:val="00766F95"/>
    <w:rsid w:val="00773659"/>
    <w:rsid w:val="00773806"/>
    <w:rsid w:val="00781455"/>
    <w:rsid w:val="007872E5"/>
    <w:rsid w:val="00791B7B"/>
    <w:rsid w:val="00794E3F"/>
    <w:rsid w:val="007A58B4"/>
    <w:rsid w:val="007D02C0"/>
    <w:rsid w:val="007D16D7"/>
    <w:rsid w:val="007E6303"/>
    <w:rsid w:val="007F44FC"/>
    <w:rsid w:val="008036FF"/>
    <w:rsid w:val="00806780"/>
    <w:rsid w:val="00812130"/>
    <w:rsid w:val="00820CB1"/>
    <w:rsid w:val="00822B02"/>
    <w:rsid w:val="00830CCB"/>
    <w:rsid w:val="00831ABE"/>
    <w:rsid w:val="00834DBC"/>
    <w:rsid w:val="00852091"/>
    <w:rsid w:val="008545E3"/>
    <w:rsid w:val="00872BF7"/>
    <w:rsid w:val="00875F29"/>
    <w:rsid w:val="00880CBA"/>
    <w:rsid w:val="008A04F4"/>
    <w:rsid w:val="008A40DF"/>
    <w:rsid w:val="008A532C"/>
    <w:rsid w:val="008D1B0B"/>
    <w:rsid w:val="008D42AA"/>
    <w:rsid w:val="008D57A2"/>
    <w:rsid w:val="008E3E91"/>
    <w:rsid w:val="008E71BD"/>
    <w:rsid w:val="009009DA"/>
    <w:rsid w:val="00904439"/>
    <w:rsid w:val="009113F3"/>
    <w:rsid w:val="00922581"/>
    <w:rsid w:val="00926111"/>
    <w:rsid w:val="00932AA1"/>
    <w:rsid w:val="0093401D"/>
    <w:rsid w:val="00960BFD"/>
    <w:rsid w:val="0096352F"/>
    <w:rsid w:val="00971EA3"/>
    <w:rsid w:val="00990747"/>
    <w:rsid w:val="00995728"/>
    <w:rsid w:val="00997A6F"/>
    <w:rsid w:val="009A7185"/>
    <w:rsid w:val="009B24EC"/>
    <w:rsid w:val="009B4976"/>
    <w:rsid w:val="009C05BA"/>
    <w:rsid w:val="009F792F"/>
    <w:rsid w:val="009F7CDB"/>
    <w:rsid w:val="00A00C73"/>
    <w:rsid w:val="00A020A4"/>
    <w:rsid w:val="00A03B23"/>
    <w:rsid w:val="00A04962"/>
    <w:rsid w:val="00A049B8"/>
    <w:rsid w:val="00A12F5C"/>
    <w:rsid w:val="00A15343"/>
    <w:rsid w:val="00A23332"/>
    <w:rsid w:val="00A25530"/>
    <w:rsid w:val="00A26238"/>
    <w:rsid w:val="00A32A24"/>
    <w:rsid w:val="00A348E1"/>
    <w:rsid w:val="00A41275"/>
    <w:rsid w:val="00A414E8"/>
    <w:rsid w:val="00A425CE"/>
    <w:rsid w:val="00A42E88"/>
    <w:rsid w:val="00A575ED"/>
    <w:rsid w:val="00A57CD6"/>
    <w:rsid w:val="00A6485A"/>
    <w:rsid w:val="00A667D8"/>
    <w:rsid w:val="00A66BE9"/>
    <w:rsid w:val="00A70E4C"/>
    <w:rsid w:val="00A71BC9"/>
    <w:rsid w:val="00A758B0"/>
    <w:rsid w:val="00A75E19"/>
    <w:rsid w:val="00A76030"/>
    <w:rsid w:val="00A965E7"/>
    <w:rsid w:val="00A97321"/>
    <w:rsid w:val="00AA2703"/>
    <w:rsid w:val="00AB6F64"/>
    <w:rsid w:val="00AC71C6"/>
    <w:rsid w:val="00AC7E0C"/>
    <w:rsid w:val="00AD4FF1"/>
    <w:rsid w:val="00AE3F6B"/>
    <w:rsid w:val="00AF212F"/>
    <w:rsid w:val="00B045AD"/>
    <w:rsid w:val="00B06014"/>
    <w:rsid w:val="00B10CD0"/>
    <w:rsid w:val="00B34614"/>
    <w:rsid w:val="00B5706D"/>
    <w:rsid w:val="00B57575"/>
    <w:rsid w:val="00B628D9"/>
    <w:rsid w:val="00B9160D"/>
    <w:rsid w:val="00B9276D"/>
    <w:rsid w:val="00B95ABD"/>
    <w:rsid w:val="00B96D44"/>
    <w:rsid w:val="00BA59C6"/>
    <w:rsid w:val="00BA614F"/>
    <w:rsid w:val="00BA7527"/>
    <w:rsid w:val="00BC3100"/>
    <w:rsid w:val="00BD16F1"/>
    <w:rsid w:val="00BD3072"/>
    <w:rsid w:val="00BE6F87"/>
    <w:rsid w:val="00BF72C8"/>
    <w:rsid w:val="00C1440B"/>
    <w:rsid w:val="00C342D6"/>
    <w:rsid w:val="00C36BEA"/>
    <w:rsid w:val="00C43B08"/>
    <w:rsid w:val="00C465D9"/>
    <w:rsid w:val="00C51836"/>
    <w:rsid w:val="00C558B2"/>
    <w:rsid w:val="00C63588"/>
    <w:rsid w:val="00C64D5B"/>
    <w:rsid w:val="00C84D51"/>
    <w:rsid w:val="00C900F1"/>
    <w:rsid w:val="00CA02B2"/>
    <w:rsid w:val="00CB4083"/>
    <w:rsid w:val="00CB577A"/>
    <w:rsid w:val="00CB7FDE"/>
    <w:rsid w:val="00CF1FFE"/>
    <w:rsid w:val="00CF58B5"/>
    <w:rsid w:val="00D12D1D"/>
    <w:rsid w:val="00D25FC3"/>
    <w:rsid w:val="00D27D84"/>
    <w:rsid w:val="00D32176"/>
    <w:rsid w:val="00D33369"/>
    <w:rsid w:val="00D34830"/>
    <w:rsid w:val="00D4286E"/>
    <w:rsid w:val="00D5180A"/>
    <w:rsid w:val="00D63CF2"/>
    <w:rsid w:val="00D676CC"/>
    <w:rsid w:val="00D716B6"/>
    <w:rsid w:val="00D75307"/>
    <w:rsid w:val="00D767E2"/>
    <w:rsid w:val="00D775D3"/>
    <w:rsid w:val="00D77A18"/>
    <w:rsid w:val="00D9312A"/>
    <w:rsid w:val="00DB4B46"/>
    <w:rsid w:val="00DB75CF"/>
    <w:rsid w:val="00DC3AA5"/>
    <w:rsid w:val="00DC44FE"/>
    <w:rsid w:val="00DD037C"/>
    <w:rsid w:val="00DD1AB9"/>
    <w:rsid w:val="00DF3650"/>
    <w:rsid w:val="00E007DF"/>
    <w:rsid w:val="00E0528B"/>
    <w:rsid w:val="00E1042A"/>
    <w:rsid w:val="00E17BF9"/>
    <w:rsid w:val="00E21A74"/>
    <w:rsid w:val="00E21EC2"/>
    <w:rsid w:val="00E24A8C"/>
    <w:rsid w:val="00E250C7"/>
    <w:rsid w:val="00E30FDE"/>
    <w:rsid w:val="00E31762"/>
    <w:rsid w:val="00E3345B"/>
    <w:rsid w:val="00E444E8"/>
    <w:rsid w:val="00E45320"/>
    <w:rsid w:val="00E47C5D"/>
    <w:rsid w:val="00E54DF2"/>
    <w:rsid w:val="00E67F23"/>
    <w:rsid w:val="00E7368D"/>
    <w:rsid w:val="00EA0C67"/>
    <w:rsid w:val="00EA10E3"/>
    <w:rsid w:val="00EB1A2D"/>
    <w:rsid w:val="00EC5E15"/>
    <w:rsid w:val="00ED21C0"/>
    <w:rsid w:val="00EF069F"/>
    <w:rsid w:val="00EF6C55"/>
    <w:rsid w:val="00EF7B92"/>
    <w:rsid w:val="00F23AD0"/>
    <w:rsid w:val="00F2420B"/>
    <w:rsid w:val="00F32C3F"/>
    <w:rsid w:val="00F47E66"/>
    <w:rsid w:val="00F52D82"/>
    <w:rsid w:val="00F53585"/>
    <w:rsid w:val="00F55502"/>
    <w:rsid w:val="00F668D3"/>
    <w:rsid w:val="00F6766B"/>
    <w:rsid w:val="00F6767D"/>
    <w:rsid w:val="00F72F6F"/>
    <w:rsid w:val="00F77300"/>
    <w:rsid w:val="00F83645"/>
    <w:rsid w:val="00F836A7"/>
    <w:rsid w:val="00F84F86"/>
    <w:rsid w:val="00F8650F"/>
    <w:rsid w:val="00F927BF"/>
    <w:rsid w:val="00F95070"/>
    <w:rsid w:val="00FA210B"/>
    <w:rsid w:val="00FA498B"/>
    <w:rsid w:val="00FA547C"/>
    <w:rsid w:val="00FB2F3B"/>
    <w:rsid w:val="00FC508D"/>
    <w:rsid w:val="00FD0DD4"/>
    <w:rsid w:val="00FD1F2F"/>
    <w:rsid w:val="00FF6141"/>
    <w:rsid w:val="039F7766"/>
    <w:rsid w:val="05DB6044"/>
    <w:rsid w:val="06897CEC"/>
    <w:rsid w:val="0725366F"/>
    <w:rsid w:val="098E0F0D"/>
    <w:rsid w:val="0D0A36D3"/>
    <w:rsid w:val="0E193B58"/>
    <w:rsid w:val="0E825B45"/>
    <w:rsid w:val="0EE16BCE"/>
    <w:rsid w:val="10C43FC4"/>
    <w:rsid w:val="11D41A0D"/>
    <w:rsid w:val="12777C21"/>
    <w:rsid w:val="152C321E"/>
    <w:rsid w:val="155E0007"/>
    <w:rsid w:val="16AA1116"/>
    <w:rsid w:val="16C10A84"/>
    <w:rsid w:val="16C51429"/>
    <w:rsid w:val="17107F49"/>
    <w:rsid w:val="182C1B6F"/>
    <w:rsid w:val="18DD79DA"/>
    <w:rsid w:val="19044132"/>
    <w:rsid w:val="19C628F2"/>
    <w:rsid w:val="19E43C53"/>
    <w:rsid w:val="1AC04C50"/>
    <w:rsid w:val="1B285D84"/>
    <w:rsid w:val="1B753BAD"/>
    <w:rsid w:val="1C3B56FF"/>
    <w:rsid w:val="1DCF392B"/>
    <w:rsid w:val="201A0616"/>
    <w:rsid w:val="227D5AB9"/>
    <w:rsid w:val="24797E84"/>
    <w:rsid w:val="24984001"/>
    <w:rsid w:val="24E7488D"/>
    <w:rsid w:val="26B23143"/>
    <w:rsid w:val="27EA640F"/>
    <w:rsid w:val="28B333B3"/>
    <w:rsid w:val="2A1D0C95"/>
    <w:rsid w:val="2C797D2C"/>
    <w:rsid w:val="2FE06F5C"/>
    <w:rsid w:val="30215916"/>
    <w:rsid w:val="31A44F7F"/>
    <w:rsid w:val="32611140"/>
    <w:rsid w:val="34A907E2"/>
    <w:rsid w:val="34DF1850"/>
    <w:rsid w:val="38974A61"/>
    <w:rsid w:val="391D0E1C"/>
    <w:rsid w:val="39B20D32"/>
    <w:rsid w:val="3AE36557"/>
    <w:rsid w:val="3BA83567"/>
    <w:rsid w:val="3CC135BB"/>
    <w:rsid w:val="3DFD6E67"/>
    <w:rsid w:val="3E3618FD"/>
    <w:rsid w:val="3F6A01CE"/>
    <w:rsid w:val="43A37AE8"/>
    <w:rsid w:val="469D24D8"/>
    <w:rsid w:val="47A03C5C"/>
    <w:rsid w:val="48A10AB6"/>
    <w:rsid w:val="5205214A"/>
    <w:rsid w:val="526D06D4"/>
    <w:rsid w:val="52C233B4"/>
    <w:rsid w:val="52D45DE7"/>
    <w:rsid w:val="53C70732"/>
    <w:rsid w:val="542E3BC1"/>
    <w:rsid w:val="54A34A39"/>
    <w:rsid w:val="5B9205A6"/>
    <w:rsid w:val="5D480125"/>
    <w:rsid w:val="5F29052D"/>
    <w:rsid w:val="62202D67"/>
    <w:rsid w:val="62DA7FF6"/>
    <w:rsid w:val="64E657CB"/>
    <w:rsid w:val="656247EA"/>
    <w:rsid w:val="65781572"/>
    <w:rsid w:val="665678E4"/>
    <w:rsid w:val="66A568DD"/>
    <w:rsid w:val="690A7375"/>
    <w:rsid w:val="69577F3C"/>
    <w:rsid w:val="6999168A"/>
    <w:rsid w:val="6A6A3884"/>
    <w:rsid w:val="6B313FC9"/>
    <w:rsid w:val="6DCB2635"/>
    <w:rsid w:val="6E290536"/>
    <w:rsid w:val="720F7F81"/>
    <w:rsid w:val="72562F3F"/>
    <w:rsid w:val="72F813C2"/>
    <w:rsid w:val="746556C1"/>
    <w:rsid w:val="760022F0"/>
    <w:rsid w:val="76FB2842"/>
    <w:rsid w:val="788F2290"/>
    <w:rsid w:val="78B91F59"/>
    <w:rsid w:val="79A90E1C"/>
    <w:rsid w:val="7CA00156"/>
    <w:rsid w:val="7D503F01"/>
    <w:rsid w:val="7D537BE3"/>
    <w:rsid w:val="7D8D518A"/>
    <w:rsid w:val="7DA91E54"/>
    <w:rsid w:val="7EDB7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iPriority="99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9"/>
    <w:next w:val="1"/>
    <w:link w:val="58"/>
    <w:qFormat/>
    <w:uiPriority w:val="0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Cs/>
      <w:color w:val="000000"/>
      <w:kern w:val="44"/>
      <w:sz w:val="30"/>
      <w:szCs w:val="30"/>
    </w:rPr>
  </w:style>
  <w:style w:type="paragraph" w:styleId="10">
    <w:name w:val="heading 2"/>
    <w:basedOn w:val="1"/>
    <w:next w:val="1"/>
    <w:unhideWhenUsed/>
    <w:qFormat/>
    <w:uiPriority w:val="9"/>
    <w:pPr>
      <w:keepNext/>
      <w:keepLines/>
      <w:ind w:firstLine="643"/>
      <w:outlineLvl w:val="1"/>
    </w:pPr>
    <w:rPr>
      <w:rFonts w:eastAsia="楷体" w:cs="Times New Roman"/>
      <w:b/>
      <w:bCs/>
      <w:szCs w:val="32"/>
    </w:rPr>
  </w:style>
  <w:style w:type="paragraph" w:styleId="11">
    <w:name w:val="heading 4"/>
    <w:basedOn w:val="1"/>
    <w:next w:val="1"/>
    <w:link w:val="5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3"/>
    <w:next w:val="4"/>
    <w:qFormat/>
    <w:uiPriority w:val="0"/>
    <w:pPr>
      <w:ind w:firstLine="420" w:firstLineChars="200"/>
    </w:pPr>
  </w:style>
  <w:style w:type="paragraph" w:customStyle="1" w:styleId="3">
    <w:name w:val="文本"/>
    <w:basedOn w:val="1"/>
    <w:next w:val="1"/>
    <w:qFormat/>
    <w:uiPriority w:val="99"/>
    <w:pPr>
      <w:widowControl/>
      <w:spacing w:line="440" w:lineRule="exact"/>
      <w:jc w:val="left"/>
    </w:pPr>
  </w:style>
  <w:style w:type="paragraph" w:styleId="4">
    <w:name w:val="Body Text First Indent 2"/>
    <w:basedOn w:val="5"/>
    <w:next w:val="7"/>
    <w:qFormat/>
    <w:uiPriority w:val="0"/>
    <w:pPr>
      <w:tabs>
        <w:tab w:val="left" w:pos="-213"/>
      </w:tabs>
      <w:ind w:firstLine="420" w:firstLineChars="200"/>
    </w:pPr>
  </w:style>
  <w:style w:type="paragraph" w:styleId="5">
    <w:name w:val="Body Text Indent"/>
    <w:basedOn w:val="1"/>
    <w:next w:val="6"/>
    <w:link w:val="43"/>
    <w:qFormat/>
    <w:uiPriority w:val="0"/>
    <w:pPr>
      <w:spacing w:line="480" w:lineRule="exact"/>
      <w:ind w:firstLine="560"/>
    </w:pPr>
    <w:rPr>
      <w:rFonts w:ascii="宋体" w:hAnsi="宋体"/>
      <w:sz w:val="28"/>
    </w:rPr>
  </w:style>
  <w:style w:type="paragraph" w:styleId="6">
    <w:name w:val="envelope return"/>
    <w:basedOn w:val="1"/>
    <w:unhideWhenUsed/>
    <w:qFormat/>
    <w:uiPriority w:val="99"/>
    <w:pPr>
      <w:snapToGrid w:val="0"/>
      <w:ind w:firstLine="723"/>
      <w:jc w:val="left"/>
    </w:pPr>
    <w:rPr>
      <w:rFonts w:ascii="Arial" w:hAnsi="Arial" w:cs="宋体"/>
    </w:rPr>
  </w:style>
  <w:style w:type="paragraph" w:styleId="7">
    <w:name w:val="Body Text First Indent"/>
    <w:basedOn w:val="1"/>
    <w:next w:val="1"/>
    <w:link w:val="41"/>
    <w:qFormat/>
    <w:uiPriority w:val="0"/>
    <w:pPr>
      <w:spacing w:after="120"/>
      <w:ind w:firstLine="420" w:firstLineChars="100"/>
    </w:p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12">
    <w:name w:val="E-mail Signature"/>
    <w:basedOn w:val="1"/>
    <w:next w:val="13"/>
    <w:unhideWhenUsed/>
    <w:qFormat/>
    <w:uiPriority w:val="99"/>
    <w:pPr>
      <w:widowControl w:val="0"/>
      <w:autoSpaceDE/>
      <w:autoSpaceDN/>
      <w:spacing w:before="0" w:after="0" w:line="460" w:lineRule="exact"/>
      <w:ind w:left="0" w:firstLine="200"/>
      <w:jc w:val="both"/>
    </w:pPr>
    <w:rPr>
      <w:rFonts w:ascii="Times New Roman" w:eastAsia="宋体"/>
      <w:sz w:val="24"/>
    </w:rPr>
  </w:style>
  <w:style w:type="paragraph" w:customStyle="1" w:styleId="13">
    <w:name w:val="文章"/>
    <w:basedOn w:val="1"/>
    <w:next w:val="14"/>
    <w:qFormat/>
    <w:uiPriority w:val="0"/>
    <w:pPr>
      <w:widowControl/>
      <w:autoSpaceDE/>
      <w:autoSpaceDN/>
      <w:spacing w:before="0" w:after="0" w:line="240" w:lineRule="auto"/>
      <w:ind w:left="0" w:firstLine="480"/>
      <w:jc w:val="center"/>
    </w:pPr>
    <w:rPr>
      <w:rFonts w:ascii="Times New Roman" w:eastAsia="宋体"/>
      <w:sz w:val="26"/>
    </w:rPr>
  </w:style>
  <w:style w:type="paragraph" w:styleId="14">
    <w:name w:val="List"/>
    <w:basedOn w:val="1"/>
    <w:qFormat/>
    <w:uiPriority w:val="0"/>
    <w:pPr>
      <w:spacing w:line="360" w:lineRule="auto"/>
      <w:ind w:left="200" w:hanging="200"/>
    </w:pPr>
    <w:rPr>
      <w:color w:val="000000"/>
      <w:kern w:val="0"/>
    </w:rPr>
  </w:style>
  <w:style w:type="paragraph" w:styleId="15">
    <w:name w:val="annotation text"/>
    <w:basedOn w:val="1"/>
    <w:link w:val="56"/>
    <w:qFormat/>
    <w:uiPriority w:val="0"/>
    <w:pPr>
      <w:jc w:val="left"/>
    </w:pPr>
    <w:rPr>
      <w:kern w:val="0"/>
      <w:sz w:val="24"/>
      <w:szCs w:val="20"/>
    </w:rPr>
  </w:style>
  <w:style w:type="paragraph" w:styleId="16">
    <w:name w:val="Body Text"/>
    <w:basedOn w:val="1"/>
    <w:next w:val="1"/>
    <w:link w:val="40"/>
    <w:qFormat/>
    <w:uiPriority w:val="0"/>
    <w:rPr>
      <w:b/>
      <w:sz w:val="32"/>
    </w:rPr>
  </w:style>
  <w:style w:type="paragraph" w:styleId="17">
    <w:name w:val="List Bullet 2"/>
    <w:basedOn w:val="1"/>
    <w:next w:val="18"/>
    <w:qFormat/>
    <w:uiPriority w:val="0"/>
    <w:pPr>
      <w:numPr>
        <w:ilvl w:val="0"/>
        <w:numId w:val="1"/>
      </w:numPr>
    </w:pPr>
  </w:style>
  <w:style w:type="paragraph" w:customStyle="1" w:styleId="18">
    <w:name w:val="xl70"/>
    <w:basedOn w:val="1"/>
    <w:next w:val="19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宋体" w:eastAsia="宋体"/>
      <w:sz w:val="24"/>
    </w:rPr>
  </w:style>
  <w:style w:type="paragraph" w:customStyle="1" w:styleId="19">
    <w:name w:val="正文缩进1"/>
    <w:basedOn w:val="1"/>
    <w:next w:val="20"/>
    <w:qFormat/>
    <w:uiPriority w:val="0"/>
    <w:pPr>
      <w:widowControl w:val="0"/>
      <w:autoSpaceDE/>
      <w:autoSpaceDN/>
      <w:spacing w:before="0" w:after="0" w:line="360" w:lineRule="auto"/>
      <w:ind w:left="0" w:firstLine="420"/>
      <w:jc w:val="both"/>
    </w:pPr>
    <w:rPr>
      <w:rFonts w:ascii="宋体" w:eastAsia="宋体"/>
      <w:sz w:val="28"/>
    </w:rPr>
  </w:style>
  <w:style w:type="paragraph" w:customStyle="1" w:styleId="20">
    <w:name w:val="td1"/>
    <w:basedOn w:val="1"/>
    <w:next w:val="1"/>
    <w:qFormat/>
    <w:uiPriority w:val="0"/>
    <w:pPr>
      <w:widowControl/>
      <w:autoSpaceDE/>
      <w:autoSpaceDN/>
      <w:spacing w:before="280" w:after="280" w:line="300" w:lineRule="atLeast"/>
      <w:ind w:left="0" w:firstLine="200"/>
    </w:pPr>
    <w:rPr>
      <w:rFonts w:ascii="Times New Roman" w:eastAsia="宋体"/>
      <w:color w:val="000000"/>
      <w:sz w:val="18"/>
    </w:rPr>
  </w:style>
  <w:style w:type="paragraph" w:styleId="21">
    <w:name w:val="Body Text Indent 2"/>
    <w:basedOn w:val="1"/>
    <w:next w:val="1"/>
    <w:qFormat/>
    <w:uiPriority w:val="0"/>
    <w:pPr>
      <w:spacing w:line="460" w:lineRule="exact"/>
      <w:ind w:firstLine="480" w:firstLineChars="200"/>
    </w:pPr>
    <w:rPr>
      <w:color w:val="FF0000"/>
      <w:sz w:val="24"/>
    </w:rPr>
  </w:style>
  <w:style w:type="paragraph" w:styleId="22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next w:val="24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样式 Z正文 + 首行缩进:  2 字符1"/>
    <w:basedOn w:val="25"/>
    <w:qFormat/>
    <w:uiPriority w:val="0"/>
    <w:pPr>
      <w:ind w:firstLine="480"/>
    </w:pPr>
    <w:rPr>
      <w:rFonts w:cs="宋体"/>
    </w:rPr>
  </w:style>
  <w:style w:type="paragraph" w:customStyle="1" w:styleId="25">
    <w:name w:val="Z正文"/>
    <w:basedOn w:val="26"/>
    <w:qFormat/>
    <w:uiPriority w:val="0"/>
    <w:pPr>
      <w:ind w:firstLine="200" w:firstLineChars="200"/>
      <w:outlineLvl w:val="9"/>
    </w:pPr>
    <w:rPr>
      <w:rFonts w:ascii="Times New Roman"/>
      <w:sz w:val="24"/>
      <w:szCs w:val="24"/>
    </w:rPr>
  </w:style>
  <w:style w:type="paragraph" w:customStyle="1" w:styleId="26">
    <w:name w:val="样式 标题 1标题 11Head 1wsah1一、标题2Part'Document章Ch + 加粗"/>
    <w:basedOn w:val="8"/>
    <w:qFormat/>
    <w:uiPriority w:val="0"/>
    <w:rPr>
      <w:rFonts w:ascii="黑体"/>
      <w:sz w:val="32"/>
    </w:rPr>
  </w:style>
  <w:style w:type="paragraph" w:styleId="27">
    <w:name w:val="toc 2"/>
    <w:basedOn w:val="1"/>
    <w:next w:val="12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8">
    <w:name w:val="Body Text 2"/>
    <w:qFormat/>
    <w:uiPriority w:val="0"/>
    <w:pPr>
      <w:widowControl w:val="0"/>
      <w:spacing w:line="600" w:lineRule="exact"/>
      <w:jc w:val="center"/>
    </w:pPr>
    <w:rPr>
      <w:rFonts w:ascii="方正小标宋简体" w:hAnsi="Times New Roman" w:eastAsia="方正小标宋简体" w:cs="Times New Roman"/>
      <w:bCs/>
      <w:kern w:val="2"/>
      <w:sz w:val="44"/>
      <w:szCs w:val="44"/>
      <w:lang w:val="en-US" w:eastAsia="zh-CN" w:bidi="ar-SA"/>
    </w:rPr>
  </w:style>
  <w:style w:type="paragraph" w:styleId="29">
    <w:name w:val="Normal (Web)"/>
    <w:basedOn w:val="1"/>
    <w:link w:val="5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报告正文"/>
    <w:basedOn w:val="1"/>
    <w:qFormat/>
    <w:uiPriority w:val="0"/>
    <w:pPr>
      <w:spacing w:line="360" w:lineRule="auto"/>
      <w:ind w:firstLine="200" w:firstLineChars="200"/>
    </w:pPr>
    <w:rPr>
      <w:rFonts w:cs="宋体"/>
      <w:color w:val="000000"/>
    </w:rPr>
  </w:style>
  <w:style w:type="paragraph" w:customStyle="1" w:styleId="34">
    <w:name w:val="样式5"/>
    <w:qFormat/>
    <w:uiPriority w:val="0"/>
    <w:pPr>
      <w:snapToGrid w:val="0"/>
      <w:spacing w:line="360" w:lineRule="auto"/>
      <w:ind w:firstLine="51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5">
    <w:name w:val="Default"/>
    <w:next w:val="36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sz w:val="24"/>
      <w:szCs w:val="24"/>
      <w:lang w:val="en-US" w:eastAsia="zh-CN" w:bidi="ar-SA"/>
    </w:rPr>
  </w:style>
  <w:style w:type="paragraph" w:customStyle="1" w:styleId="36">
    <w:name w:val="样式35"/>
    <w:basedOn w:val="1"/>
    <w:next w:val="37"/>
    <w:qFormat/>
    <w:uiPriority w:val="0"/>
    <w:pPr>
      <w:widowControl w:val="0"/>
      <w:autoSpaceDE/>
      <w:autoSpaceDN/>
      <w:spacing w:before="0" w:after="0" w:line="312" w:lineRule="auto"/>
      <w:ind w:left="0" w:firstLine="567"/>
      <w:jc w:val="both"/>
    </w:pPr>
    <w:rPr>
      <w:rFonts w:ascii="宋体" w:eastAsia="宋体"/>
      <w:sz w:val="28"/>
    </w:rPr>
  </w:style>
  <w:style w:type="paragraph" w:customStyle="1" w:styleId="37">
    <w:name w:val="font6"/>
    <w:basedOn w:val="1"/>
    <w:next w:val="27"/>
    <w:qFormat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Times New Roman" w:eastAsia="宋体"/>
      <w:sz w:val="21"/>
    </w:rPr>
  </w:style>
  <w:style w:type="character" w:customStyle="1" w:styleId="38">
    <w:name w:val="页眉 Char"/>
    <w:basedOn w:val="32"/>
    <w:link w:val="23"/>
    <w:qFormat/>
    <w:uiPriority w:val="0"/>
    <w:rPr>
      <w:kern w:val="2"/>
      <w:sz w:val="18"/>
      <w:szCs w:val="18"/>
    </w:rPr>
  </w:style>
  <w:style w:type="character" w:customStyle="1" w:styleId="39">
    <w:name w:val="页脚 Char"/>
    <w:basedOn w:val="32"/>
    <w:link w:val="22"/>
    <w:qFormat/>
    <w:uiPriority w:val="0"/>
    <w:rPr>
      <w:kern w:val="2"/>
      <w:sz w:val="18"/>
      <w:szCs w:val="18"/>
    </w:rPr>
  </w:style>
  <w:style w:type="character" w:customStyle="1" w:styleId="40">
    <w:name w:val="正文文本 Char"/>
    <w:basedOn w:val="32"/>
    <w:link w:val="16"/>
    <w:qFormat/>
    <w:uiPriority w:val="0"/>
    <w:rPr>
      <w:b/>
      <w:kern w:val="2"/>
      <w:sz w:val="32"/>
    </w:rPr>
  </w:style>
  <w:style w:type="character" w:customStyle="1" w:styleId="41">
    <w:name w:val="正文首行缩进 Char"/>
    <w:basedOn w:val="40"/>
    <w:link w:val="7"/>
    <w:qFormat/>
    <w:uiPriority w:val="0"/>
  </w:style>
  <w:style w:type="paragraph" w:customStyle="1" w:styleId="42">
    <w:name w:val="Char Char3"/>
    <w:basedOn w:val="1"/>
    <w:qFormat/>
    <w:uiPriority w:val="0"/>
    <w:rPr>
      <w:szCs w:val="20"/>
    </w:rPr>
  </w:style>
  <w:style w:type="character" w:customStyle="1" w:styleId="43">
    <w:name w:val="正文文本缩进 Char"/>
    <w:link w:val="5"/>
    <w:qFormat/>
    <w:locked/>
    <w:uiPriority w:val="0"/>
    <w:rPr>
      <w:rFonts w:ascii="宋体" w:hAnsi="宋体"/>
      <w:kern w:val="2"/>
      <w:sz w:val="28"/>
      <w:szCs w:val="24"/>
    </w:rPr>
  </w:style>
  <w:style w:type="paragraph" w:customStyle="1" w:styleId="44">
    <w:name w:val="+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kern w:val="0"/>
      <w:sz w:val="24"/>
      <w:szCs w:val="28"/>
    </w:rPr>
  </w:style>
  <w:style w:type="paragraph" w:customStyle="1" w:styleId="45">
    <w:name w:val="123456"/>
    <w:basedOn w:val="1"/>
    <w:qFormat/>
    <w:uiPriority w:val="0"/>
    <w:pPr>
      <w:spacing w:before="120" w:after="120" w:line="360" w:lineRule="auto"/>
      <w:ind w:firstLine="200" w:firstLineChars="200"/>
    </w:pPr>
    <w:rPr>
      <w:sz w:val="24"/>
    </w:rPr>
  </w:style>
  <w:style w:type="paragraph" w:customStyle="1" w:styleId="46">
    <w:name w:val="正文标准样式"/>
    <w:basedOn w:val="1"/>
    <w:qFormat/>
    <w:uiPriority w:val="0"/>
    <w:pPr>
      <w:adjustRightInd w:val="0"/>
      <w:spacing w:line="300" w:lineRule="auto"/>
      <w:ind w:firstLine="482"/>
    </w:pPr>
    <w:rPr>
      <w:kern w:val="0"/>
      <w:sz w:val="24"/>
      <w:szCs w:val="20"/>
    </w:rPr>
  </w:style>
  <w:style w:type="character" w:customStyle="1" w:styleId="47">
    <w:name w:val="页眉 Char1"/>
    <w:basedOn w:val="32"/>
    <w:qFormat/>
    <w:uiPriority w:val="0"/>
  </w:style>
  <w:style w:type="paragraph" w:customStyle="1" w:styleId="48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cs="宋体"/>
      <w:snapToGrid w:val="0"/>
      <w:kern w:val="0"/>
      <w:sz w:val="24"/>
    </w:rPr>
  </w:style>
  <w:style w:type="paragraph" w:customStyle="1" w:styleId="49">
    <w:name w:val="Normal Indent1"/>
    <w:basedOn w:val="1"/>
    <w:qFormat/>
    <w:uiPriority w:val="0"/>
    <w:pPr>
      <w:ind w:firstLine="420"/>
    </w:pPr>
  </w:style>
  <w:style w:type="character" w:customStyle="1" w:styleId="50">
    <w:name w:val="正文缩进2字符 Char"/>
    <w:link w:val="51"/>
    <w:qFormat/>
    <w:uiPriority w:val="0"/>
    <w:rPr>
      <w:sz w:val="24"/>
    </w:rPr>
  </w:style>
  <w:style w:type="paragraph" w:customStyle="1" w:styleId="51">
    <w:name w:val="正文缩进2字符"/>
    <w:basedOn w:val="1"/>
    <w:link w:val="50"/>
    <w:qFormat/>
    <w:uiPriority w:val="0"/>
    <w:pPr>
      <w:spacing w:line="360" w:lineRule="auto"/>
      <w:ind w:firstLine="720" w:firstLineChars="200"/>
    </w:pPr>
    <w:rPr>
      <w:kern w:val="0"/>
      <w:sz w:val="24"/>
      <w:szCs w:val="20"/>
    </w:rPr>
  </w:style>
  <w:style w:type="character" w:customStyle="1" w:styleId="52">
    <w:name w:val="第一章表格 Char"/>
    <w:link w:val="53"/>
    <w:qFormat/>
    <w:uiPriority w:val="0"/>
    <w:rPr>
      <w:sz w:val="24"/>
    </w:rPr>
  </w:style>
  <w:style w:type="paragraph" w:customStyle="1" w:styleId="53">
    <w:name w:val="表格"/>
    <w:basedOn w:val="14"/>
    <w:link w:val="52"/>
    <w:qFormat/>
    <w:uiPriority w:val="0"/>
    <w:pPr>
      <w:jc w:val="center"/>
    </w:pPr>
    <w:rPr>
      <w:kern w:val="0"/>
      <w:sz w:val="24"/>
      <w:szCs w:val="20"/>
    </w:rPr>
  </w:style>
  <w:style w:type="character" w:customStyle="1" w:styleId="54">
    <w:name w:val="fontstyle01"/>
    <w:basedOn w:val="32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55">
    <w:name w:val="fontstyle31"/>
    <w:basedOn w:val="32"/>
    <w:qFormat/>
    <w:uiPriority w:val="0"/>
    <w:rPr>
      <w:rFonts w:hint="default" w:ascii="TimesNewRoman" w:hAnsi="TimesNewRoman" w:eastAsia="TimesNewRoman" w:cs="TimesNewRoman"/>
      <w:color w:val="000000"/>
      <w:sz w:val="24"/>
      <w:szCs w:val="24"/>
    </w:rPr>
  </w:style>
  <w:style w:type="character" w:customStyle="1" w:styleId="56">
    <w:name w:val="批注文字 Char"/>
    <w:basedOn w:val="32"/>
    <w:link w:val="15"/>
    <w:qFormat/>
    <w:uiPriority w:val="0"/>
    <w:rPr>
      <w:sz w:val="24"/>
    </w:rPr>
  </w:style>
  <w:style w:type="character" w:customStyle="1" w:styleId="57">
    <w:name w:val="普通(网站) Char"/>
    <w:link w:val="29"/>
    <w:qFormat/>
    <w:locked/>
    <w:uiPriority w:val="0"/>
    <w:rPr>
      <w:rFonts w:ascii="宋体" w:hAnsi="宋体"/>
      <w:sz w:val="24"/>
    </w:rPr>
  </w:style>
  <w:style w:type="character" w:customStyle="1" w:styleId="58">
    <w:name w:val="标题 1 Char"/>
    <w:basedOn w:val="32"/>
    <w:link w:val="8"/>
    <w:qFormat/>
    <w:uiPriority w:val="0"/>
    <w:rPr>
      <w:rFonts w:eastAsia="黑体"/>
      <w:b/>
      <w:bCs/>
      <w:color w:val="000000"/>
      <w:kern w:val="44"/>
      <w:sz w:val="30"/>
      <w:szCs w:val="30"/>
    </w:rPr>
  </w:style>
  <w:style w:type="character" w:customStyle="1" w:styleId="59">
    <w:name w:val="标题 4 Char"/>
    <w:basedOn w:val="32"/>
    <w:link w:val="11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0">
    <w:name w:val="A表内"/>
    <w:basedOn w:val="61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61">
    <w:name w:val="A表头"/>
    <w:basedOn w:val="1"/>
    <w:next w:val="1"/>
    <w:qFormat/>
    <w:uiPriority w:val="0"/>
    <w:pPr>
      <w:spacing w:beforeLines="50" w:line="240" w:lineRule="atLeast"/>
      <w:jc w:val="left"/>
    </w:pPr>
    <w:rPr>
      <w:rFonts w:eastAsia="黑体" w:cs="宋体"/>
      <w:sz w:val="22"/>
      <w:szCs w:val="20"/>
    </w:rPr>
  </w:style>
  <w:style w:type="paragraph" w:customStyle="1" w:styleId="62">
    <w:name w:val="表中表"/>
    <w:basedOn w:val="1"/>
    <w:qFormat/>
    <w:uiPriority w:val="0"/>
    <w:pPr>
      <w:jc w:val="center"/>
    </w:pPr>
    <w:rPr>
      <w:rFonts w:ascii="Times New Roman" w:hAnsi="Times New Roman" w:eastAsia="宋体"/>
      <w:szCs w:val="21"/>
    </w:rPr>
  </w:style>
  <w:style w:type="paragraph" w:customStyle="1" w:styleId="63">
    <w:name w:val="文中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kern w:val="0"/>
      <w:sz w:val="21"/>
      <w:szCs w:val="21"/>
      <w:lang w:eastAsia="en-US" w:bidi="en-US"/>
    </w:rPr>
  </w:style>
  <w:style w:type="paragraph" w:styleId="64">
    <w:name w:val="List Paragraph"/>
    <w:basedOn w:val="1"/>
    <w:qFormat/>
    <w:uiPriority w:val="34"/>
    <w:p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4</Pages>
  <Words>1919</Words>
  <Characters>2041</Characters>
  <Lines>13</Lines>
  <Paragraphs>3</Paragraphs>
  <TotalTime>3</TotalTime>
  <ScaleCrop>false</ScaleCrop>
  <LinksUpToDate>false</LinksUpToDate>
  <CharactersWithSpaces>2086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2022-12-02T09:32:00Z</dcterms:created>
  <dc:creator>Administrator</dc:creator>
  <cp:lastModifiedBy>Administrator</cp:lastModifiedBy>
  <cp:lastPrinted>2025-01-22T03:16:00Z</cp:lastPrinted>
  <dcterms:modified xsi:type="dcterms:W3CDTF">2025-08-22T08:41:40Z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D880F65AD3664D7A8CC2ECC047DBC20A_13</vt:lpwstr>
  </property>
</Properties>
</file>