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B3977">
      <w:pPr>
        <w:pStyle w:val="2"/>
        <w:spacing w:before="0" w:after="0" w:line="360" w:lineRule="auto"/>
        <w:ind w:left="110" w:leftChars="50" w:right="110" w:rightChars="50" w:firstLine="560" w:firstLineChars="200"/>
        <w:rPr>
          <w:rFonts w:hint="eastAsia" w:ascii="仿宋" w:hAnsi="仿宋" w:eastAsia="仿宋"/>
          <w:color w:val="auto"/>
          <w:sz w:val="28"/>
          <w:szCs w:val="28"/>
          <w:highlight w:val="none"/>
          <w:lang w:eastAsia="zh-CN"/>
        </w:rPr>
      </w:pPr>
    </w:p>
    <w:p w14:paraId="0C58584F">
      <w:pPr>
        <w:pStyle w:val="2"/>
        <w:spacing w:before="0" w:after="0" w:line="360" w:lineRule="auto"/>
        <w:ind w:left="110" w:leftChars="50" w:right="110" w:rightChars="50" w:firstLine="560" w:firstLineChars="200"/>
        <w:rPr>
          <w:rFonts w:hint="eastAsia" w:ascii="仿宋" w:hAnsi="仿宋" w:eastAsia="仿宋"/>
          <w:color w:val="auto"/>
          <w:sz w:val="28"/>
          <w:szCs w:val="28"/>
          <w:highlight w:val="none"/>
          <w:lang w:eastAsia="zh-CN"/>
        </w:rPr>
      </w:pPr>
    </w:p>
    <w:p w14:paraId="0B695593">
      <w:pPr>
        <w:rPr>
          <w:rFonts w:hint="eastAsia"/>
          <w:color w:val="auto"/>
          <w:highlight w:val="none"/>
          <w:lang w:eastAsia="zh-CN"/>
        </w:rPr>
      </w:pPr>
    </w:p>
    <w:p w14:paraId="31910860">
      <w:pPr>
        <w:bidi w:val="0"/>
        <w:jc w:val="center"/>
        <w:rPr>
          <w:rFonts w:hint="eastAsia"/>
          <w:b/>
          <w:bCs/>
          <w:color w:val="auto"/>
          <w:sz w:val="44"/>
          <w:szCs w:val="44"/>
          <w:highlight w:val="none"/>
          <w:lang w:eastAsia="zh-CN"/>
        </w:rPr>
      </w:pPr>
      <w:bookmarkStart w:id="0" w:name="_Toc207015260"/>
      <w:bookmarkStart w:id="1" w:name="_Toc208234544"/>
      <w:r>
        <w:rPr>
          <w:rFonts w:hint="eastAsia"/>
          <w:b/>
          <w:bCs/>
          <w:color w:val="auto"/>
          <w:sz w:val="44"/>
          <w:szCs w:val="44"/>
          <w:highlight w:val="none"/>
          <w:lang w:eastAsia="zh-CN"/>
        </w:rPr>
        <w:t>柳南区乡村地区“通则式”规划管理规定</w:t>
      </w:r>
    </w:p>
    <w:p w14:paraId="6304979B">
      <w:pPr>
        <w:bidi w:val="0"/>
        <w:jc w:val="center"/>
        <w:rPr>
          <w:rFonts w:hint="default"/>
          <w:b/>
          <w:bCs/>
          <w:color w:val="auto"/>
          <w:sz w:val="44"/>
          <w:szCs w:val="44"/>
          <w:highlight w:val="none"/>
          <w:lang w:val="en-US" w:eastAsia="zh-CN"/>
        </w:rPr>
      </w:pPr>
      <w:r>
        <w:rPr>
          <w:rFonts w:hint="eastAsia"/>
          <w:b/>
          <w:bCs/>
          <w:color w:val="auto"/>
          <w:sz w:val="44"/>
          <w:szCs w:val="44"/>
          <w:highlight w:val="none"/>
          <w:lang w:eastAsia="zh-CN"/>
        </w:rPr>
        <w:t>（试行）</w:t>
      </w:r>
      <w:bookmarkEnd w:id="0"/>
      <w:bookmarkEnd w:id="1"/>
      <w:r>
        <w:rPr>
          <w:rFonts w:hint="eastAsia"/>
          <w:b/>
          <w:bCs/>
          <w:color w:val="auto"/>
          <w:sz w:val="44"/>
          <w:szCs w:val="44"/>
          <w:highlight w:val="none"/>
          <w:lang w:val="en-US" w:eastAsia="zh-CN"/>
        </w:rPr>
        <w:t xml:space="preserve"> </w:t>
      </w:r>
    </w:p>
    <w:p w14:paraId="4238FFC8">
      <w:pPr>
        <w:pStyle w:val="11"/>
        <w:spacing w:line="360" w:lineRule="auto"/>
        <w:ind w:left="110" w:leftChars="50" w:right="110" w:rightChars="50" w:firstLine="560" w:firstLineChars="200"/>
        <w:rPr>
          <w:rFonts w:hint="eastAsia"/>
          <w:color w:val="auto"/>
          <w:highlight w:val="none"/>
          <w:lang w:eastAsia="zh-CN"/>
        </w:rPr>
      </w:pPr>
    </w:p>
    <w:p w14:paraId="286DE53F">
      <w:pPr>
        <w:pStyle w:val="11"/>
        <w:spacing w:line="360" w:lineRule="auto"/>
        <w:ind w:left="0" w:leftChars="0" w:right="110" w:rightChars="50" w:firstLine="0" w:firstLineChars="0"/>
        <w:rPr>
          <w:rFonts w:hint="eastAsia"/>
          <w:color w:val="auto"/>
          <w:highlight w:val="none"/>
          <w:lang w:eastAsia="zh-CN"/>
        </w:rPr>
      </w:pPr>
    </w:p>
    <w:p w14:paraId="1B007A88">
      <w:pPr>
        <w:pStyle w:val="11"/>
        <w:spacing w:line="360" w:lineRule="auto"/>
        <w:ind w:left="110" w:leftChars="50" w:right="110" w:rightChars="50" w:firstLine="560" w:firstLineChars="200"/>
        <w:rPr>
          <w:rFonts w:hint="eastAsia"/>
          <w:color w:val="auto"/>
          <w:highlight w:val="none"/>
          <w:lang w:eastAsia="zh-CN"/>
        </w:rPr>
      </w:pPr>
    </w:p>
    <w:p w14:paraId="7C69624F">
      <w:pPr>
        <w:pStyle w:val="11"/>
        <w:spacing w:line="360" w:lineRule="auto"/>
        <w:ind w:left="110" w:leftChars="50" w:right="110" w:rightChars="50" w:firstLine="560" w:firstLineChars="200"/>
        <w:rPr>
          <w:rFonts w:hint="eastAsia"/>
          <w:color w:val="auto"/>
          <w:highlight w:val="none"/>
          <w:lang w:eastAsia="zh-CN"/>
        </w:rPr>
      </w:pPr>
    </w:p>
    <w:p w14:paraId="71ED65A9">
      <w:pPr>
        <w:pStyle w:val="11"/>
        <w:spacing w:line="360" w:lineRule="auto"/>
        <w:ind w:left="110" w:leftChars="50" w:right="110" w:rightChars="50" w:firstLine="560" w:firstLineChars="200"/>
        <w:rPr>
          <w:rFonts w:hint="eastAsia"/>
          <w:color w:val="auto"/>
          <w:highlight w:val="none"/>
          <w:lang w:eastAsia="zh-CN"/>
        </w:rPr>
      </w:pPr>
    </w:p>
    <w:p w14:paraId="3B61F310">
      <w:pPr>
        <w:pStyle w:val="11"/>
        <w:spacing w:line="360" w:lineRule="auto"/>
        <w:ind w:left="110" w:leftChars="50" w:right="110" w:rightChars="50" w:firstLine="560" w:firstLineChars="200"/>
        <w:rPr>
          <w:rFonts w:hint="eastAsia"/>
          <w:color w:val="auto"/>
          <w:highlight w:val="none"/>
          <w:lang w:eastAsia="zh-CN"/>
        </w:rPr>
      </w:pPr>
    </w:p>
    <w:p w14:paraId="29F6A7A0">
      <w:pPr>
        <w:pStyle w:val="11"/>
        <w:spacing w:line="360" w:lineRule="auto"/>
        <w:ind w:left="110" w:leftChars="50" w:right="110" w:rightChars="50" w:firstLine="560" w:firstLineChars="200"/>
        <w:rPr>
          <w:rFonts w:hint="eastAsia"/>
          <w:color w:val="auto"/>
          <w:highlight w:val="none"/>
          <w:lang w:eastAsia="zh-CN"/>
        </w:rPr>
      </w:pPr>
    </w:p>
    <w:p w14:paraId="1D88D4A8">
      <w:pPr>
        <w:pStyle w:val="11"/>
        <w:spacing w:line="360" w:lineRule="auto"/>
        <w:ind w:left="110" w:leftChars="50" w:right="110" w:rightChars="50" w:firstLine="560" w:firstLineChars="200"/>
        <w:rPr>
          <w:rFonts w:hint="eastAsia"/>
          <w:color w:val="auto"/>
          <w:highlight w:val="none"/>
          <w:lang w:eastAsia="zh-CN"/>
        </w:rPr>
      </w:pPr>
    </w:p>
    <w:p w14:paraId="59D8B490">
      <w:pPr>
        <w:pStyle w:val="11"/>
        <w:spacing w:line="360" w:lineRule="auto"/>
        <w:ind w:left="110" w:leftChars="50" w:right="110" w:rightChars="50" w:firstLine="560" w:firstLineChars="200"/>
        <w:rPr>
          <w:rFonts w:hint="eastAsia"/>
          <w:color w:val="auto"/>
          <w:highlight w:val="none"/>
          <w:lang w:eastAsia="zh-CN"/>
        </w:rPr>
      </w:pPr>
    </w:p>
    <w:p w14:paraId="37B69198">
      <w:pPr>
        <w:pStyle w:val="11"/>
        <w:spacing w:line="360" w:lineRule="auto"/>
        <w:ind w:left="110" w:leftChars="50" w:right="110" w:rightChars="50" w:firstLine="560" w:firstLineChars="200"/>
        <w:rPr>
          <w:rFonts w:hint="eastAsia"/>
          <w:color w:val="auto"/>
          <w:highlight w:val="none"/>
          <w:lang w:eastAsia="zh-CN"/>
        </w:rPr>
      </w:pPr>
    </w:p>
    <w:p w14:paraId="71FC3375">
      <w:pPr>
        <w:pStyle w:val="11"/>
        <w:spacing w:line="360" w:lineRule="auto"/>
        <w:ind w:left="110" w:leftChars="50" w:right="110" w:rightChars="50" w:firstLine="560" w:firstLineChars="200"/>
        <w:rPr>
          <w:rFonts w:hint="eastAsia"/>
          <w:color w:val="auto"/>
          <w:highlight w:val="none"/>
          <w:lang w:eastAsia="zh-CN"/>
        </w:rPr>
      </w:pPr>
    </w:p>
    <w:p w14:paraId="371B128B">
      <w:pPr>
        <w:pStyle w:val="11"/>
        <w:spacing w:line="360" w:lineRule="auto"/>
        <w:ind w:left="0" w:right="110" w:rightChars="50"/>
        <w:rPr>
          <w:rFonts w:hint="eastAsia"/>
          <w:color w:val="auto"/>
          <w:highlight w:val="none"/>
          <w:lang w:eastAsia="zh-CN"/>
        </w:rPr>
      </w:pPr>
    </w:p>
    <w:p w14:paraId="24A321DC">
      <w:pPr>
        <w:bidi w:val="0"/>
        <w:jc w:val="center"/>
        <w:rPr>
          <w:rFonts w:hint="default"/>
          <w:color w:val="auto"/>
          <w:sz w:val="32"/>
          <w:szCs w:val="32"/>
          <w:highlight w:val="none"/>
          <w:lang w:val="en-US" w:eastAsia="zh-CN"/>
        </w:rPr>
      </w:pPr>
      <w:bookmarkStart w:id="2" w:name="_Toc207015261"/>
      <w:bookmarkStart w:id="3" w:name="_Toc208234545"/>
      <w:r>
        <w:rPr>
          <w:rFonts w:hint="eastAsia"/>
          <w:color w:val="auto"/>
          <w:sz w:val="32"/>
          <w:szCs w:val="32"/>
          <w:highlight w:val="none"/>
          <w:lang w:val="en-US" w:eastAsia="zh-CN"/>
        </w:rPr>
        <w:t>柳州市</w:t>
      </w:r>
      <w:r>
        <w:rPr>
          <w:rFonts w:hint="eastAsia"/>
          <w:color w:val="auto"/>
          <w:sz w:val="32"/>
          <w:szCs w:val="32"/>
          <w:highlight w:val="none"/>
          <w:lang w:eastAsia="zh-CN"/>
        </w:rPr>
        <w:t>柳南区</w:t>
      </w:r>
      <w:bookmarkEnd w:id="2"/>
      <w:bookmarkEnd w:id="3"/>
      <w:r>
        <w:rPr>
          <w:rFonts w:hint="eastAsia"/>
          <w:color w:val="auto"/>
          <w:sz w:val="32"/>
          <w:szCs w:val="32"/>
          <w:highlight w:val="none"/>
          <w:lang w:val="en-US" w:eastAsia="zh-CN"/>
        </w:rPr>
        <w:t>人民政府</w:t>
      </w:r>
    </w:p>
    <w:p w14:paraId="2156B3B7">
      <w:pPr>
        <w:bidi w:val="0"/>
        <w:jc w:val="center"/>
        <w:rPr>
          <w:rFonts w:hint="eastAsia"/>
          <w:color w:val="auto"/>
          <w:sz w:val="32"/>
          <w:szCs w:val="32"/>
          <w:highlight w:val="none"/>
          <w:lang w:eastAsia="zh-CN"/>
        </w:rPr>
      </w:pPr>
      <w:bookmarkStart w:id="4" w:name="_Toc207015262"/>
      <w:bookmarkStart w:id="5" w:name="_Toc208234546"/>
      <w:r>
        <w:rPr>
          <w:rFonts w:hint="eastAsia"/>
          <w:color w:val="auto"/>
          <w:sz w:val="32"/>
          <w:szCs w:val="32"/>
          <w:highlight w:val="none"/>
          <w:lang w:eastAsia="zh-CN"/>
        </w:rPr>
        <w:t>二〇二五年</w:t>
      </w:r>
      <w:r>
        <w:rPr>
          <w:rFonts w:hint="eastAsia"/>
          <w:color w:val="auto"/>
          <w:sz w:val="32"/>
          <w:szCs w:val="32"/>
          <w:highlight w:val="none"/>
          <w:lang w:val="en-US" w:eastAsia="zh-CN"/>
        </w:rPr>
        <w:t>十二</w:t>
      </w:r>
      <w:r>
        <w:rPr>
          <w:rFonts w:hint="eastAsia"/>
          <w:color w:val="auto"/>
          <w:sz w:val="32"/>
          <w:szCs w:val="32"/>
          <w:highlight w:val="none"/>
          <w:lang w:eastAsia="zh-CN"/>
        </w:rPr>
        <w:t>月</w:t>
      </w:r>
      <w:bookmarkEnd w:id="4"/>
      <w:bookmarkEnd w:id="5"/>
    </w:p>
    <w:p w14:paraId="16392F34">
      <w:pPr>
        <w:pStyle w:val="3"/>
        <w:spacing w:before="0" w:after="0" w:line="360" w:lineRule="auto"/>
        <w:ind w:left="110" w:leftChars="50" w:right="110" w:rightChars="50" w:firstLine="560" w:firstLineChars="200"/>
        <w:rPr>
          <w:rFonts w:hint="eastAsia" w:ascii="仿宋" w:hAnsi="仿宋" w:eastAsia="仿宋"/>
          <w:color w:val="auto"/>
          <w:sz w:val="28"/>
          <w:szCs w:val="28"/>
          <w:highlight w:val="none"/>
          <w:lang w:eastAsia="zh-CN"/>
        </w:rPr>
      </w:pPr>
    </w:p>
    <w:p w14:paraId="6B4C76B3">
      <w:pPr>
        <w:rPr>
          <w:rFonts w:hint="eastAsia" w:ascii="仿宋" w:hAnsi="仿宋" w:eastAsia="仿宋"/>
          <w:color w:val="auto"/>
          <w:sz w:val="28"/>
          <w:szCs w:val="28"/>
          <w:highlight w:val="none"/>
          <w:lang w:eastAsia="zh-CN"/>
        </w:rPr>
      </w:pPr>
    </w:p>
    <w:p w14:paraId="19199376">
      <w:pPr>
        <w:rPr>
          <w:rFonts w:hint="default" w:hAnsi="仿宋_GB2312"/>
          <w:b w:val="0"/>
          <w:color w:val="auto"/>
          <w:sz w:val="28"/>
          <w:szCs w:val="28"/>
          <w:highlight w:val="none"/>
          <w:lang w:val="en-US" w:eastAsia="zh-CN"/>
        </w:rPr>
      </w:pPr>
      <w:r>
        <w:rPr>
          <w:color w:val="auto"/>
          <w:highlight w:val="none"/>
        </w:rPr>
        <w:drawing>
          <wp:anchor distT="0" distB="0" distL="114300" distR="114300" simplePos="0" relativeHeight="251662336" behindDoc="0" locked="0" layoutInCell="1" allowOverlap="1">
            <wp:simplePos x="0" y="0"/>
            <wp:positionH relativeFrom="column">
              <wp:posOffset>-54610</wp:posOffset>
            </wp:positionH>
            <wp:positionV relativeFrom="paragraph">
              <wp:posOffset>3603625</wp:posOffset>
            </wp:positionV>
            <wp:extent cx="5380990" cy="3804920"/>
            <wp:effectExtent l="0" t="0" r="10160" b="5080"/>
            <wp:wrapTopAndBottom/>
            <wp:docPr id="2" name="图片 2" descr="3b931554e3d0c3be8939de754f477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b931554e3d0c3be8939de754f477f2"/>
                    <pic:cNvPicPr>
                      <a:picLocks noChangeAspect="1"/>
                    </pic:cNvPicPr>
                  </pic:nvPicPr>
                  <pic:blipFill>
                    <a:blip r:embed="rId13"/>
                    <a:stretch>
                      <a:fillRect/>
                    </a:stretch>
                  </pic:blipFill>
                  <pic:spPr>
                    <a:xfrm>
                      <a:off x="0" y="0"/>
                      <a:ext cx="5380990" cy="3804920"/>
                    </a:xfrm>
                    <a:prstGeom prst="rect">
                      <a:avLst/>
                    </a:prstGeom>
                  </pic:spPr>
                </pic:pic>
              </a:graphicData>
            </a:graphic>
          </wp:anchor>
        </w:drawing>
      </w:r>
      <w:r>
        <w:rPr>
          <w:rFonts w:hint="eastAsia" w:hAnsi="仿宋_GB2312"/>
          <w:b w:val="0"/>
          <w:color w:val="auto"/>
          <w:sz w:val="28"/>
          <w:szCs w:val="28"/>
          <w:highlight w:val="none"/>
          <w:lang w:val="en-US" w:eastAsia="zh-CN"/>
        </w:rPr>
        <w:t>委托单位（甲方）：柳州市柳南区人民政府</w:t>
      </w:r>
    </w:p>
    <w:p w14:paraId="1C3652EA">
      <w:pPr>
        <w:tabs>
          <w:tab w:val="right" w:leader="dot" w:pos="8834"/>
        </w:tabs>
        <w:ind w:firstLine="0" w:firstLineChars="0"/>
        <w:jc w:val="both"/>
        <w:rPr>
          <w:rFonts w:hint="eastAsia" w:hAnsi="仿宋_GB2312"/>
          <w:b w:val="0"/>
          <w:color w:val="auto"/>
          <w:sz w:val="28"/>
          <w:szCs w:val="28"/>
          <w:highlight w:val="none"/>
          <w:lang w:val="en-US" w:eastAsia="zh-CN"/>
        </w:rPr>
      </w:pPr>
      <w:r>
        <w:rPr>
          <w:rFonts w:hint="eastAsia" w:hAnsi="仿宋_GB2312"/>
          <w:b w:val="0"/>
          <w:color w:val="auto"/>
          <w:sz w:val="28"/>
          <w:szCs w:val="28"/>
          <w:highlight w:val="none"/>
          <w:lang w:val="en-US" w:eastAsia="zh-CN"/>
        </w:rPr>
        <w:t>编制单位（乙方）：柳州市城乡规划设计研究院有限公司</w:t>
      </w:r>
    </w:p>
    <w:p w14:paraId="6F09B627">
      <w:pPr>
        <w:tabs>
          <w:tab w:val="right" w:leader="dot" w:pos="8834"/>
        </w:tabs>
        <w:ind w:firstLine="0" w:firstLineChars="0"/>
        <w:jc w:val="both"/>
        <w:rPr>
          <w:rFonts w:hint="eastAsia" w:hAnsi="仿宋_GB2312"/>
          <w:b w:val="0"/>
          <w:color w:val="auto"/>
          <w:sz w:val="28"/>
          <w:szCs w:val="28"/>
          <w:highlight w:val="none"/>
          <w:lang w:val="en-US" w:eastAsia="zh-CN"/>
        </w:rPr>
      </w:pPr>
      <w:r>
        <w:rPr>
          <w:rFonts w:hint="eastAsia" w:hAnsi="仿宋_GB2312"/>
          <w:b w:val="0"/>
          <w:color w:val="auto"/>
          <w:sz w:val="28"/>
          <w:szCs w:val="28"/>
          <w:highlight w:val="none"/>
          <w:lang w:val="en-US" w:eastAsia="zh-CN"/>
        </w:rPr>
        <w:t>城乡规划编制资质证书等级：甲级</w:t>
      </w:r>
    </w:p>
    <w:p w14:paraId="4FC3ACF0">
      <w:pPr>
        <w:tabs>
          <w:tab w:val="right" w:leader="dot" w:pos="8834"/>
        </w:tabs>
        <w:ind w:firstLine="0" w:firstLineChars="0"/>
        <w:jc w:val="both"/>
        <w:rPr>
          <w:rFonts w:hint="eastAsia" w:hAnsi="仿宋_GB2312"/>
          <w:b w:val="0"/>
          <w:color w:val="auto"/>
          <w:sz w:val="28"/>
          <w:szCs w:val="28"/>
          <w:highlight w:val="none"/>
          <w:lang w:val="en-US" w:eastAsia="zh-CN"/>
        </w:rPr>
      </w:pPr>
      <w:r>
        <w:rPr>
          <w:rFonts w:hint="eastAsia" w:hAnsi="仿宋_GB2312"/>
          <w:b w:val="0"/>
          <w:color w:val="auto"/>
          <w:sz w:val="28"/>
          <w:szCs w:val="28"/>
          <w:highlight w:val="none"/>
          <w:lang w:val="en-US" w:eastAsia="zh-CN"/>
        </w:rPr>
        <w:t>城乡规划编制资质证书编号：自资规甲字21450457</w:t>
      </w:r>
    </w:p>
    <w:p w14:paraId="66AF1B90">
      <w:pPr>
        <w:tabs>
          <w:tab w:val="right" w:leader="dot" w:pos="8834"/>
        </w:tabs>
        <w:ind w:left="0" w:leftChars="0" w:firstLine="0" w:firstLineChars="0"/>
        <w:jc w:val="both"/>
        <w:rPr>
          <w:rFonts w:hint="default" w:hAnsi="仿宋_GB2312"/>
          <w:b w:val="0"/>
          <w:color w:val="auto"/>
          <w:sz w:val="28"/>
          <w:szCs w:val="28"/>
          <w:highlight w:val="none"/>
          <w:lang w:val="en-US" w:eastAsia="zh-CN"/>
        </w:rPr>
      </w:pPr>
      <w:r>
        <w:rPr>
          <w:rFonts w:hint="eastAsia" w:hAnsi="仿宋_GB2312"/>
          <w:b w:val="0"/>
          <w:color w:val="auto"/>
          <w:sz w:val="28"/>
          <w:szCs w:val="28"/>
          <w:highlight w:val="none"/>
          <w:lang w:val="en-US" w:eastAsia="zh-CN"/>
        </w:rPr>
        <w:t>本通则主要起草人员：耿  磊  高级城市规划师 高级工程师</w:t>
      </w:r>
    </w:p>
    <w:p w14:paraId="7EAD1A2A">
      <w:pPr>
        <w:tabs>
          <w:tab w:val="right" w:leader="dot" w:pos="8834"/>
        </w:tabs>
        <w:ind w:left="0" w:leftChars="0" w:firstLine="2800" w:firstLineChars="1000"/>
        <w:jc w:val="both"/>
        <w:rPr>
          <w:rFonts w:hint="default" w:hAnsi="仿宋_GB2312"/>
          <w:b w:val="0"/>
          <w:color w:val="auto"/>
          <w:sz w:val="28"/>
          <w:szCs w:val="28"/>
          <w:highlight w:val="none"/>
          <w:lang w:val="en-US" w:eastAsia="zh-CN"/>
        </w:rPr>
      </w:pPr>
      <w:r>
        <w:rPr>
          <w:rFonts w:hint="eastAsia" w:hAnsi="仿宋_GB2312"/>
          <w:b w:val="0"/>
          <w:color w:val="auto"/>
          <w:sz w:val="28"/>
          <w:szCs w:val="28"/>
          <w:highlight w:val="none"/>
          <w:lang w:val="en-US" w:eastAsia="zh-CN"/>
        </w:rPr>
        <w:t>张净超  高级城市规划师 注册城市规划师</w:t>
      </w:r>
    </w:p>
    <w:p w14:paraId="37A6141A">
      <w:pPr>
        <w:tabs>
          <w:tab w:val="right" w:leader="dot" w:pos="8834"/>
        </w:tabs>
        <w:ind w:left="0" w:leftChars="0" w:firstLine="2800" w:firstLineChars="1000"/>
        <w:jc w:val="both"/>
        <w:rPr>
          <w:rFonts w:hint="default" w:hAnsi="仿宋_GB2312"/>
          <w:b w:val="0"/>
          <w:color w:val="auto"/>
          <w:sz w:val="28"/>
          <w:szCs w:val="28"/>
          <w:highlight w:val="none"/>
          <w:lang w:val="en-US" w:eastAsia="zh-CN"/>
        </w:rPr>
      </w:pPr>
      <w:r>
        <w:rPr>
          <w:rFonts w:hint="eastAsia" w:hAnsi="仿宋_GB2312"/>
          <w:b w:val="0"/>
          <w:color w:val="auto"/>
          <w:sz w:val="28"/>
          <w:szCs w:val="28"/>
          <w:highlight w:val="none"/>
          <w:lang w:val="en-US" w:eastAsia="zh-CN"/>
        </w:rPr>
        <w:t>陈俊宏  城市规划师</w:t>
      </w:r>
    </w:p>
    <w:p w14:paraId="358F58CE">
      <w:pPr>
        <w:tabs>
          <w:tab w:val="right" w:leader="dot" w:pos="8834"/>
        </w:tabs>
        <w:ind w:left="0" w:leftChars="0" w:firstLine="2800" w:firstLineChars="1000"/>
        <w:jc w:val="both"/>
        <w:rPr>
          <w:rFonts w:hint="eastAsia" w:hAnsi="仿宋_GB2312"/>
          <w:b w:val="0"/>
          <w:color w:val="auto"/>
          <w:sz w:val="28"/>
          <w:szCs w:val="28"/>
          <w:highlight w:val="none"/>
          <w:lang w:val="en-US" w:eastAsia="zh-CN"/>
        </w:rPr>
      </w:pPr>
      <w:r>
        <w:rPr>
          <w:rFonts w:hint="eastAsia" w:hAnsi="仿宋_GB2312"/>
          <w:b w:val="0"/>
          <w:color w:val="auto"/>
          <w:sz w:val="28"/>
          <w:szCs w:val="28"/>
          <w:highlight w:val="none"/>
          <w:lang w:val="en-US" w:eastAsia="zh-CN"/>
        </w:rPr>
        <w:t>陈俏冰  城市规划师</w:t>
      </w:r>
    </w:p>
    <w:p w14:paraId="109295E0">
      <w:pPr>
        <w:tabs>
          <w:tab w:val="right" w:leader="dot" w:pos="8834"/>
        </w:tabs>
        <w:jc w:val="both"/>
        <w:rPr>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pgNumType w:fmt="numberInDash" w:start="1"/>
          <w:cols w:space="425" w:num="1"/>
          <w:docGrid w:type="lines" w:linePitch="312" w:charSpace="0"/>
        </w:sectPr>
      </w:pPr>
    </w:p>
    <w:sdt>
      <w:sdtPr>
        <w:rPr>
          <w:rFonts w:ascii="仿宋" w:hAnsi="仿宋" w:eastAsia="仿宋" w:cs="仿宋"/>
          <w:color w:val="auto"/>
          <w:sz w:val="22"/>
          <w:szCs w:val="22"/>
          <w:highlight w:val="none"/>
          <w:lang w:val="zh-CN" w:eastAsia="en-US"/>
        </w:rPr>
        <w:id w:val="-1686207042"/>
        <w:docPartObj>
          <w:docPartGallery w:val="Table of Contents"/>
          <w:docPartUnique/>
        </w:docPartObj>
      </w:sdtPr>
      <w:sdtEndPr>
        <w:rPr>
          <w:rFonts w:ascii="仿宋" w:hAnsi="仿宋" w:eastAsia="仿宋" w:cs="仿宋"/>
          <w:b/>
          <w:bCs/>
          <w:color w:val="auto"/>
          <w:sz w:val="22"/>
          <w:szCs w:val="22"/>
          <w:highlight w:val="none"/>
          <w:lang w:val="zh-CN" w:eastAsia="en-US"/>
        </w:rPr>
      </w:sdtEndPr>
      <w:sdtContent>
        <w:p w14:paraId="04DAE75B">
          <w:pPr>
            <w:pStyle w:val="47"/>
            <w:jc w:val="center"/>
            <w:rPr>
              <w:rFonts w:asciiTheme="majorHAnsi" w:hAnsiTheme="majorHAnsi" w:eastAsiaTheme="majorEastAsia" w:cstheme="majorBidi"/>
              <w:b/>
              <w:bCs/>
              <w:color w:val="auto"/>
              <w:sz w:val="32"/>
              <w:szCs w:val="32"/>
              <w:highlight w:val="none"/>
              <w:lang w:val="zh-CN" w:eastAsia="zh-CN" w:bidi="ar-SA"/>
            </w:rPr>
          </w:pPr>
          <w:r>
            <w:rPr>
              <w:color w:val="auto"/>
              <w:sz w:val="36"/>
              <w:szCs w:val="36"/>
              <w:highlight w:val="none"/>
              <w:lang w:val="zh-CN"/>
            </w:rPr>
            <w:t>目录</w:t>
          </w:r>
          <w:r>
            <w:rPr>
              <w:color w:val="auto"/>
              <w:highlight w:val="none"/>
            </w:rPr>
            <w:fldChar w:fldCharType="begin"/>
          </w:r>
          <w:r>
            <w:rPr>
              <w:color w:val="auto"/>
              <w:highlight w:val="none"/>
            </w:rPr>
            <w:instrText xml:space="preserve"> TOC \o "1-3" \h \z \u </w:instrText>
          </w:r>
          <w:r>
            <w:rPr>
              <w:color w:val="auto"/>
              <w:highlight w:val="none"/>
            </w:rPr>
            <w:fldChar w:fldCharType="separate"/>
          </w:r>
        </w:p>
        <w:p w14:paraId="2C096287">
          <w:pPr>
            <w:pStyle w:val="17"/>
            <w:tabs>
              <w:tab w:val="right" w:leader="dot" w:pos="9925"/>
            </w:tabs>
          </w:pPr>
          <w:r>
            <w:rPr>
              <w:bCs/>
              <w:color w:val="auto"/>
              <w:highlight w:val="none"/>
              <w:lang w:val="zh-CN"/>
            </w:rPr>
            <w:fldChar w:fldCharType="begin"/>
          </w:r>
          <w:r>
            <w:rPr>
              <w:bCs/>
              <w:highlight w:val="none"/>
              <w:lang w:val="zh-CN"/>
            </w:rPr>
            <w:instrText xml:space="preserve"> HYPERLINK \l _Toc12418 </w:instrText>
          </w:r>
          <w:r>
            <w:rPr>
              <w:bCs/>
              <w:highlight w:val="none"/>
              <w:lang w:val="zh-CN"/>
            </w:rPr>
            <w:fldChar w:fldCharType="separate"/>
          </w:r>
          <w:r>
            <w:rPr>
              <w:rFonts w:ascii="仿宋" w:hAnsi="仿宋" w:eastAsia="仿宋"/>
              <w:bCs/>
              <w:szCs w:val="32"/>
              <w:highlight w:val="none"/>
              <w:lang w:eastAsia="zh-CN"/>
            </w:rPr>
            <w:t>前言</w:t>
          </w:r>
          <w:r>
            <w:tab/>
          </w:r>
          <w:r>
            <w:fldChar w:fldCharType="begin"/>
          </w:r>
          <w:r>
            <w:instrText xml:space="preserve"> PAGEREF _Toc12418 \h </w:instrText>
          </w:r>
          <w:r>
            <w:fldChar w:fldCharType="separate"/>
          </w:r>
          <w:r>
            <w:t>1</w:t>
          </w:r>
          <w:r>
            <w:fldChar w:fldCharType="end"/>
          </w:r>
          <w:r>
            <w:rPr>
              <w:bCs/>
              <w:color w:val="auto"/>
              <w:highlight w:val="none"/>
              <w:lang w:val="zh-CN"/>
            </w:rPr>
            <w:fldChar w:fldCharType="end"/>
          </w:r>
        </w:p>
        <w:p w14:paraId="4EE54D0D">
          <w:pPr>
            <w:pStyle w:val="17"/>
            <w:tabs>
              <w:tab w:val="right" w:leader="dot" w:pos="9925"/>
            </w:tabs>
          </w:pPr>
          <w:r>
            <w:rPr>
              <w:bCs/>
              <w:color w:val="auto"/>
              <w:highlight w:val="none"/>
              <w:lang w:val="zh-CN"/>
            </w:rPr>
            <w:fldChar w:fldCharType="begin"/>
          </w:r>
          <w:r>
            <w:rPr>
              <w:bCs/>
              <w:highlight w:val="none"/>
              <w:lang w:val="zh-CN"/>
            </w:rPr>
            <w:instrText xml:space="preserve"> HYPERLINK \l _Toc27180 </w:instrText>
          </w:r>
          <w:r>
            <w:rPr>
              <w:bCs/>
              <w:highlight w:val="none"/>
              <w:lang w:val="zh-CN"/>
            </w:rPr>
            <w:fldChar w:fldCharType="separate"/>
          </w:r>
          <w:r>
            <w:rPr>
              <w:rFonts w:ascii="微软雅黑" w:hAnsi="微软雅黑" w:eastAsia="微软雅黑" w:cs="微软雅黑"/>
              <w:bCs/>
              <w:szCs w:val="32"/>
              <w:highlight w:val="none"/>
              <w:lang w:eastAsia="zh-CN"/>
            </w:rPr>
            <w:t>第一章 总则</w:t>
          </w:r>
          <w:r>
            <w:tab/>
          </w:r>
          <w:r>
            <w:fldChar w:fldCharType="begin"/>
          </w:r>
          <w:r>
            <w:instrText xml:space="preserve"> PAGEREF _Toc27180 \h </w:instrText>
          </w:r>
          <w:r>
            <w:fldChar w:fldCharType="separate"/>
          </w:r>
          <w:r>
            <w:t>2</w:t>
          </w:r>
          <w:r>
            <w:fldChar w:fldCharType="end"/>
          </w:r>
          <w:r>
            <w:rPr>
              <w:bCs/>
              <w:color w:val="auto"/>
              <w:highlight w:val="none"/>
              <w:lang w:val="zh-CN"/>
            </w:rPr>
            <w:fldChar w:fldCharType="end"/>
          </w:r>
        </w:p>
        <w:p w14:paraId="5C5BB196">
          <w:pPr>
            <w:pStyle w:val="17"/>
            <w:tabs>
              <w:tab w:val="right" w:leader="dot" w:pos="9925"/>
            </w:tabs>
          </w:pPr>
          <w:r>
            <w:rPr>
              <w:bCs/>
              <w:color w:val="auto"/>
              <w:highlight w:val="none"/>
              <w:lang w:val="zh-CN"/>
            </w:rPr>
            <w:fldChar w:fldCharType="begin"/>
          </w:r>
          <w:r>
            <w:rPr>
              <w:bCs/>
              <w:highlight w:val="none"/>
              <w:lang w:val="zh-CN"/>
            </w:rPr>
            <w:instrText xml:space="preserve"> HYPERLINK \l _Toc14226 </w:instrText>
          </w:r>
          <w:r>
            <w:rPr>
              <w:bCs/>
              <w:highlight w:val="none"/>
              <w:lang w:val="zh-CN"/>
            </w:rPr>
            <w:fldChar w:fldCharType="separate"/>
          </w:r>
          <w:r>
            <w:rPr>
              <w:rFonts w:ascii="微软雅黑" w:hAnsi="微软雅黑" w:eastAsia="微软雅黑" w:cs="微软雅黑"/>
              <w:bCs/>
              <w:szCs w:val="32"/>
              <w:highlight w:val="none"/>
              <w:lang w:eastAsia="zh-CN"/>
            </w:rPr>
            <w:t>第二章 村庄概况</w:t>
          </w:r>
          <w:r>
            <w:tab/>
          </w:r>
          <w:r>
            <w:fldChar w:fldCharType="begin"/>
          </w:r>
          <w:r>
            <w:instrText xml:space="preserve"> PAGEREF _Toc14226 \h </w:instrText>
          </w:r>
          <w:r>
            <w:fldChar w:fldCharType="separate"/>
          </w:r>
          <w:r>
            <w:t>3</w:t>
          </w:r>
          <w:r>
            <w:fldChar w:fldCharType="end"/>
          </w:r>
          <w:r>
            <w:rPr>
              <w:bCs/>
              <w:color w:val="auto"/>
              <w:highlight w:val="none"/>
              <w:lang w:val="zh-CN"/>
            </w:rPr>
            <w:fldChar w:fldCharType="end"/>
          </w:r>
        </w:p>
        <w:p w14:paraId="01DEADE4">
          <w:pPr>
            <w:pStyle w:val="17"/>
            <w:tabs>
              <w:tab w:val="right" w:leader="dot" w:pos="9925"/>
            </w:tabs>
          </w:pPr>
          <w:r>
            <w:rPr>
              <w:bCs/>
              <w:color w:val="auto"/>
              <w:highlight w:val="none"/>
              <w:lang w:val="zh-CN"/>
            </w:rPr>
            <w:fldChar w:fldCharType="begin"/>
          </w:r>
          <w:r>
            <w:rPr>
              <w:bCs/>
              <w:highlight w:val="none"/>
              <w:lang w:val="zh-CN"/>
            </w:rPr>
            <w:instrText xml:space="preserve"> HYPERLINK \l _Toc8673 </w:instrText>
          </w:r>
          <w:r>
            <w:rPr>
              <w:bCs/>
              <w:highlight w:val="none"/>
              <w:lang w:val="zh-CN"/>
            </w:rPr>
            <w:fldChar w:fldCharType="separate"/>
          </w:r>
          <w:r>
            <w:rPr>
              <w:rFonts w:ascii="微软雅黑" w:hAnsi="微软雅黑" w:eastAsia="微软雅黑" w:cs="微软雅黑"/>
              <w:bCs/>
              <w:szCs w:val="32"/>
              <w:highlight w:val="none"/>
              <w:lang w:eastAsia="zh-CN"/>
            </w:rPr>
            <w:t>第三章 底线管控</w:t>
          </w:r>
          <w:r>
            <w:tab/>
          </w:r>
          <w:r>
            <w:fldChar w:fldCharType="begin"/>
          </w:r>
          <w:r>
            <w:instrText xml:space="preserve"> PAGEREF _Toc8673 \h </w:instrText>
          </w:r>
          <w:r>
            <w:fldChar w:fldCharType="separate"/>
          </w:r>
          <w:r>
            <w:t>3</w:t>
          </w:r>
          <w:r>
            <w:fldChar w:fldCharType="end"/>
          </w:r>
          <w:r>
            <w:rPr>
              <w:bCs/>
              <w:color w:val="auto"/>
              <w:highlight w:val="none"/>
              <w:lang w:val="zh-CN"/>
            </w:rPr>
            <w:fldChar w:fldCharType="end"/>
          </w:r>
        </w:p>
        <w:p w14:paraId="3F1EB351">
          <w:pPr>
            <w:pStyle w:val="17"/>
            <w:tabs>
              <w:tab w:val="right" w:leader="dot" w:pos="9925"/>
            </w:tabs>
          </w:pPr>
          <w:r>
            <w:rPr>
              <w:bCs/>
              <w:color w:val="auto"/>
              <w:highlight w:val="none"/>
              <w:lang w:val="zh-CN"/>
            </w:rPr>
            <w:fldChar w:fldCharType="begin"/>
          </w:r>
          <w:r>
            <w:rPr>
              <w:bCs/>
              <w:highlight w:val="none"/>
              <w:lang w:val="zh-CN"/>
            </w:rPr>
            <w:instrText xml:space="preserve"> HYPERLINK \l _Toc26206 </w:instrText>
          </w:r>
          <w:r>
            <w:rPr>
              <w:bCs/>
              <w:highlight w:val="none"/>
              <w:lang w:val="zh-CN"/>
            </w:rPr>
            <w:fldChar w:fldCharType="separate"/>
          </w:r>
          <w:r>
            <w:rPr>
              <w:rFonts w:ascii="微软雅黑" w:hAnsi="微软雅黑" w:eastAsia="微软雅黑" w:cs="微软雅黑"/>
              <w:bCs/>
              <w:szCs w:val="32"/>
              <w:highlight w:val="none"/>
              <w:lang w:eastAsia="zh-CN"/>
            </w:rPr>
            <w:t>第四章 用地布局</w:t>
          </w:r>
          <w:r>
            <w:tab/>
          </w:r>
          <w:r>
            <w:fldChar w:fldCharType="begin"/>
          </w:r>
          <w:r>
            <w:instrText xml:space="preserve"> PAGEREF _Toc26206 \h </w:instrText>
          </w:r>
          <w:r>
            <w:fldChar w:fldCharType="separate"/>
          </w:r>
          <w:r>
            <w:t>6</w:t>
          </w:r>
          <w:r>
            <w:fldChar w:fldCharType="end"/>
          </w:r>
          <w:r>
            <w:rPr>
              <w:bCs/>
              <w:color w:val="auto"/>
              <w:highlight w:val="none"/>
              <w:lang w:val="zh-CN"/>
            </w:rPr>
            <w:fldChar w:fldCharType="end"/>
          </w:r>
        </w:p>
        <w:p w14:paraId="15D9EAC4">
          <w:pPr>
            <w:pStyle w:val="17"/>
            <w:tabs>
              <w:tab w:val="right" w:leader="dot" w:pos="9925"/>
            </w:tabs>
          </w:pPr>
          <w:r>
            <w:rPr>
              <w:bCs/>
              <w:color w:val="auto"/>
              <w:highlight w:val="none"/>
              <w:lang w:val="zh-CN"/>
            </w:rPr>
            <w:fldChar w:fldCharType="begin"/>
          </w:r>
          <w:r>
            <w:rPr>
              <w:bCs/>
              <w:highlight w:val="none"/>
              <w:lang w:val="zh-CN"/>
            </w:rPr>
            <w:instrText xml:space="preserve"> HYPERLINK \l _Toc24024 </w:instrText>
          </w:r>
          <w:r>
            <w:rPr>
              <w:bCs/>
              <w:highlight w:val="none"/>
              <w:lang w:val="zh-CN"/>
            </w:rPr>
            <w:fldChar w:fldCharType="separate"/>
          </w:r>
          <w:r>
            <w:rPr>
              <w:rFonts w:ascii="微软雅黑" w:hAnsi="微软雅黑" w:eastAsia="微软雅黑" w:cs="微软雅黑"/>
              <w:bCs/>
              <w:szCs w:val="32"/>
              <w:highlight w:val="none"/>
              <w:lang w:eastAsia="zh-CN"/>
            </w:rPr>
            <w:t>第五章 建设控制</w:t>
          </w:r>
          <w:r>
            <w:tab/>
          </w:r>
          <w:r>
            <w:fldChar w:fldCharType="begin"/>
          </w:r>
          <w:r>
            <w:instrText xml:space="preserve"> PAGEREF _Toc24024 \h </w:instrText>
          </w:r>
          <w:r>
            <w:fldChar w:fldCharType="separate"/>
          </w:r>
          <w:r>
            <w:t>14</w:t>
          </w:r>
          <w:r>
            <w:fldChar w:fldCharType="end"/>
          </w:r>
          <w:r>
            <w:rPr>
              <w:bCs/>
              <w:color w:val="auto"/>
              <w:highlight w:val="none"/>
              <w:lang w:val="zh-CN"/>
            </w:rPr>
            <w:fldChar w:fldCharType="end"/>
          </w:r>
        </w:p>
        <w:p w14:paraId="392B2F40">
          <w:pPr>
            <w:pStyle w:val="17"/>
            <w:tabs>
              <w:tab w:val="right" w:leader="dot" w:pos="9925"/>
            </w:tabs>
          </w:pPr>
          <w:r>
            <w:rPr>
              <w:bCs/>
              <w:color w:val="auto"/>
              <w:highlight w:val="none"/>
              <w:lang w:val="zh-CN"/>
            </w:rPr>
            <w:fldChar w:fldCharType="begin"/>
          </w:r>
          <w:r>
            <w:rPr>
              <w:bCs/>
              <w:highlight w:val="none"/>
              <w:lang w:val="zh-CN"/>
            </w:rPr>
            <w:instrText xml:space="preserve"> HYPERLINK \l _Toc31494 </w:instrText>
          </w:r>
          <w:r>
            <w:rPr>
              <w:bCs/>
              <w:highlight w:val="none"/>
              <w:lang w:val="zh-CN"/>
            </w:rPr>
            <w:fldChar w:fldCharType="separate"/>
          </w:r>
          <w:r>
            <w:rPr>
              <w:rFonts w:ascii="微软雅黑" w:hAnsi="微软雅黑" w:eastAsia="微软雅黑" w:cs="微软雅黑"/>
              <w:bCs/>
              <w:szCs w:val="32"/>
              <w:highlight w:val="none"/>
              <w:lang w:eastAsia="zh-CN"/>
            </w:rPr>
            <w:t>第六章 其他管控指引</w:t>
          </w:r>
          <w:r>
            <w:tab/>
          </w:r>
          <w:r>
            <w:fldChar w:fldCharType="begin"/>
          </w:r>
          <w:r>
            <w:instrText xml:space="preserve"> PAGEREF _Toc31494 \h </w:instrText>
          </w:r>
          <w:r>
            <w:fldChar w:fldCharType="separate"/>
          </w:r>
          <w:r>
            <w:t>20</w:t>
          </w:r>
          <w:r>
            <w:fldChar w:fldCharType="end"/>
          </w:r>
          <w:r>
            <w:rPr>
              <w:bCs/>
              <w:color w:val="auto"/>
              <w:highlight w:val="none"/>
              <w:lang w:val="zh-CN"/>
            </w:rPr>
            <w:fldChar w:fldCharType="end"/>
          </w:r>
        </w:p>
        <w:p w14:paraId="2F023787">
          <w:pPr>
            <w:pStyle w:val="17"/>
            <w:tabs>
              <w:tab w:val="right" w:leader="dot" w:pos="9925"/>
            </w:tabs>
          </w:pPr>
          <w:r>
            <w:rPr>
              <w:bCs/>
              <w:color w:val="auto"/>
              <w:highlight w:val="none"/>
              <w:lang w:val="zh-CN"/>
            </w:rPr>
            <w:fldChar w:fldCharType="begin"/>
          </w:r>
          <w:r>
            <w:rPr>
              <w:bCs/>
              <w:highlight w:val="none"/>
              <w:lang w:val="zh-CN"/>
            </w:rPr>
            <w:instrText xml:space="preserve"> HYPERLINK \l _Toc24924 </w:instrText>
          </w:r>
          <w:r>
            <w:rPr>
              <w:bCs/>
              <w:highlight w:val="none"/>
              <w:lang w:val="zh-CN"/>
            </w:rPr>
            <w:fldChar w:fldCharType="separate"/>
          </w:r>
          <w:r>
            <w:rPr>
              <w:rFonts w:ascii="微软雅黑" w:hAnsi="微软雅黑" w:eastAsia="微软雅黑" w:cs="微软雅黑"/>
              <w:bCs/>
              <w:szCs w:val="32"/>
              <w:highlight w:val="none"/>
              <w:lang w:eastAsia="zh-CN"/>
            </w:rPr>
            <w:t>第七章 实施保障</w:t>
          </w:r>
          <w:r>
            <w:tab/>
          </w:r>
          <w:r>
            <w:fldChar w:fldCharType="begin"/>
          </w:r>
          <w:r>
            <w:instrText xml:space="preserve"> PAGEREF _Toc24924 \h </w:instrText>
          </w:r>
          <w:r>
            <w:fldChar w:fldCharType="separate"/>
          </w:r>
          <w:r>
            <w:t>24</w:t>
          </w:r>
          <w:r>
            <w:fldChar w:fldCharType="end"/>
          </w:r>
          <w:r>
            <w:rPr>
              <w:bCs/>
              <w:color w:val="auto"/>
              <w:highlight w:val="none"/>
              <w:lang w:val="zh-CN"/>
            </w:rPr>
            <w:fldChar w:fldCharType="end"/>
          </w:r>
        </w:p>
        <w:p w14:paraId="04EF3769">
          <w:pPr>
            <w:pStyle w:val="17"/>
            <w:tabs>
              <w:tab w:val="right" w:leader="dot" w:pos="9925"/>
            </w:tabs>
          </w:pPr>
          <w:r>
            <w:rPr>
              <w:bCs/>
              <w:color w:val="auto"/>
              <w:highlight w:val="none"/>
              <w:lang w:val="zh-CN"/>
            </w:rPr>
            <w:fldChar w:fldCharType="begin"/>
          </w:r>
          <w:r>
            <w:rPr>
              <w:bCs/>
              <w:highlight w:val="none"/>
              <w:lang w:val="zh-CN"/>
            </w:rPr>
            <w:instrText xml:space="preserve"> HYPERLINK \l _Toc23207 </w:instrText>
          </w:r>
          <w:r>
            <w:rPr>
              <w:bCs/>
              <w:highlight w:val="none"/>
              <w:lang w:val="zh-CN"/>
            </w:rPr>
            <w:fldChar w:fldCharType="separate"/>
          </w:r>
          <w:r>
            <w:rPr>
              <w:rFonts w:ascii="微软雅黑" w:hAnsi="微软雅黑" w:eastAsia="微软雅黑" w:cs="微软雅黑"/>
              <w:bCs/>
              <w:szCs w:val="32"/>
              <w:highlight w:val="none"/>
              <w:lang w:eastAsia="zh-CN"/>
            </w:rPr>
            <w:t>附则</w:t>
          </w:r>
          <w:r>
            <w:tab/>
          </w:r>
          <w:r>
            <w:fldChar w:fldCharType="begin"/>
          </w:r>
          <w:r>
            <w:instrText xml:space="preserve"> PAGEREF _Toc23207 \h </w:instrText>
          </w:r>
          <w:r>
            <w:fldChar w:fldCharType="separate"/>
          </w:r>
          <w:r>
            <w:t>26</w:t>
          </w:r>
          <w:r>
            <w:fldChar w:fldCharType="end"/>
          </w:r>
          <w:r>
            <w:rPr>
              <w:bCs/>
              <w:color w:val="auto"/>
              <w:highlight w:val="none"/>
              <w:lang w:val="zh-CN"/>
            </w:rPr>
            <w:fldChar w:fldCharType="end"/>
          </w:r>
        </w:p>
        <w:p w14:paraId="183E61E4">
          <w:pPr>
            <w:pStyle w:val="17"/>
            <w:tabs>
              <w:tab w:val="right" w:leader="dot" w:pos="9925"/>
            </w:tabs>
          </w:pPr>
          <w:r>
            <w:rPr>
              <w:bCs/>
              <w:color w:val="auto"/>
              <w:highlight w:val="none"/>
              <w:lang w:val="zh-CN"/>
            </w:rPr>
            <w:fldChar w:fldCharType="begin"/>
          </w:r>
          <w:r>
            <w:rPr>
              <w:bCs/>
              <w:highlight w:val="none"/>
              <w:lang w:val="zh-CN"/>
            </w:rPr>
            <w:instrText xml:space="preserve"> HYPERLINK \l _Toc30733 </w:instrText>
          </w:r>
          <w:r>
            <w:rPr>
              <w:bCs/>
              <w:highlight w:val="none"/>
              <w:lang w:val="zh-CN"/>
            </w:rPr>
            <w:fldChar w:fldCharType="separate"/>
          </w:r>
          <w:r>
            <w:rPr>
              <w:rFonts w:ascii="微软雅黑" w:hAnsi="微软雅黑" w:eastAsia="微软雅黑" w:cs="微软雅黑"/>
              <w:bCs/>
              <w:szCs w:val="32"/>
              <w:highlight w:val="none"/>
              <w:lang w:eastAsia="zh-CN"/>
            </w:rPr>
            <w:t>附录</w:t>
          </w:r>
          <w:r>
            <w:tab/>
          </w:r>
          <w:r>
            <w:fldChar w:fldCharType="begin"/>
          </w:r>
          <w:r>
            <w:instrText xml:space="preserve"> PAGEREF _Toc30733 \h </w:instrText>
          </w:r>
          <w:r>
            <w:fldChar w:fldCharType="separate"/>
          </w:r>
          <w:r>
            <w:t>27</w:t>
          </w:r>
          <w:r>
            <w:fldChar w:fldCharType="end"/>
          </w:r>
          <w:r>
            <w:rPr>
              <w:bCs/>
              <w:color w:val="auto"/>
              <w:highlight w:val="none"/>
              <w:lang w:val="zh-CN"/>
            </w:rPr>
            <w:fldChar w:fldCharType="end"/>
          </w:r>
        </w:p>
        <w:p w14:paraId="62BFF97B">
          <w:pPr>
            <w:pStyle w:val="17"/>
            <w:tabs>
              <w:tab w:val="right" w:leader="dot" w:pos="9925"/>
            </w:tabs>
          </w:pPr>
          <w:r>
            <w:rPr>
              <w:bCs/>
              <w:color w:val="auto"/>
              <w:highlight w:val="none"/>
              <w:lang w:val="zh-CN"/>
            </w:rPr>
            <w:fldChar w:fldCharType="begin"/>
          </w:r>
          <w:r>
            <w:rPr>
              <w:bCs/>
              <w:highlight w:val="none"/>
              <w:lang w:val="zh-CN"/>
            </w:rPr>
            <w:instrText xml:space="preserve"> HYPERLINK \l _Toc6520 </w:instrText>
          </w:r>
          <w:r>
            <w:rPr>
              <w:bCs/>
              <w:highlight w:val="none"/>
              <w:lang w:val="zh-CN"/>
            </w:rPr>
            <w:fldChar w:fldCharType="separate"/>
          </w:r>
          <w:r>
            <w:rPr>
              <w:rFonts w:ascii="微软雅黑" w:hAnsi="微软雅黑" w:eastAsia="微软雅黑" w:cs="微软雅黑"/>
              <w:bCs/>
              <w:szCs w:val="32"/>
              <w:highlight w:val="none"/>
              <w:lang w:eastAsia="zh-CN"/>
            </w:rPr>
            <w:t>附表</w:t>
          </w:r>
          <w:r>
            <w:tab/>
          </w:r>
          <w:r>
            <w:fldChar w:fldCharType="begin"/>
          </w:r>
          <w:r>
            <w:instrText xml:space="preserve"> PAGEREF _Toc6520 \h </w:instrText>
          </w:r>
          <w:r>
            <w:fldChar w:fldCharType="separate"/>
          </w:r>
          <w:r>
            <w:t>35</w:t>
          </w:r>
          <w:r>
            <w:fldChar w:fldCharType="end"/>
          </w:r>
          <w:r>
            <w:rPr>
              <w:bCs/>
              <w:color w:val="auto"/>
              <w:highlight w:val="none"/>
              <w:lang w:val="zh-CN"/>
            </w:rPr>
            <w:fldChar w:fldCharType="end"/>
          </w:r>
        </w:p>
        <w:p w14:paraId="5612ED92">
          <w:pPr>
            <w:pStyle w:val="17"/>
            <w:tabs>
              <w:tab w:val="right" w:leader="dot" w:pos="9925"/>
            </w:tabs>
          </w:pPr>
          <w:r>
            <w:rPr>
              <w:bCs/>
              <w:color w:val="auto"/>
              <w:highlight w:val="none"/>
              <w:lang w:val="zh-CN"/>
            </w:rPr>
            <w:fldChar w:fldCharType="begin"/>
          </w:r>
          <w:r>
            <w:rPr>
              <w:bCs/>
              <w:highlight w:val="none"/>
              <w:lang w:val="zh-CN"/>
            </w:rPr>
            <w:instrText xml:space="preserve"> HYPERLINK \l _Toc18449 </w:instrText>
          </w:r>
          <w:r>
            <w:rPr>
              <w:bCs/>
              <w:highlight w:val="none"/>
              <w:lang w:val="zh-CN"/>
            </w:rPr>
            <w:fldChar w:fldCharType="separate"/>
          </w:r>
          <w:r>
            <w:rPr>
              <w:rFonts w:ascii="微软雅黑" w:hAnsi="微软雅黑" w:eastAsia="微软雅黑" w:cs="微软雅黑"/>
              <w:bCs/>
              <w:szCs w:val="32"/>
              <w:highlight w:val="none"/>
              <w:lang w:eastAsia="zh-CN"/>
            </w:rPr>
            <w:t>附图</w:t>
          </w:r>
          <w:r>
            <w:tab/>
          </w:r>
          <w:r>
            <w:fldChar w:fldCharType="begin"/>
          </w:r>
          <w:r>
            <w:instrText xml:space="preserve"> PAGEREF _Toc18449 \h </w:instrText>
          </w:r>
          <w:r>
            <w:fldChar w:fldCharType="separate"/>
          </w:r>
          <w:r>
            <w:t>45</w:t>
          </w:r>
          <w:r>
            <w:fldChar w:fldCharType="end"/>
          </w:r>
          <w:r>
            <w:rPr>
              <w:bCs/>
              <w:color w:val="auto"/>
              <w:highlight w:val="none"/>
              <w:lang w:val="zh-CN"/>
            </w:rPr>
            <w:fldChar w:fldCharType="end"/>
          </w:r>
        </w:p>
        <w:p w14:paraId="0089ACE3">
          <w:pPr>
            <w:jc w:val="center"/>
            <w:rPr>
              <w:rFonts w:hint="eastAsia"/>
              <w:color w:val="auto"/>
              <w:highlight w:val="none"/>
            </w:rPr>
          </w:pPr>
          <w:r>
            <w:rPr>
              <w:b/>
              <w:bCs/>
              <w:color w:val="auto"/>
              <w:highlight w:val="none"/>
              <w:lang w:val="zh-CN"/>
            </w:rPr>
            <w:fldChar w:fldCharType="end"/>
          </w:r>
        </w:p>
      </w:sdtContent>
    </w:sdt>
    <w:p w14:paraId="23B229AB">
      <w:pPr>
        <w:pStyle w:val="3"/>
        <w:spacing w:before="0" w:after="0" w:line="360" w:lineRule="auto"/>
        <w:ind w:left="110" w:leftChars="50" w:right="110" w:rightChars="50"/>
        <w:jc w:val="center"/>
        <w:rPr>
          <w:rFonts w:hint="eastAsia" w:ascii="仿宋" w:hAnsi="仿宋" w:eastAsia="仿宋"/>
          <w:b/>
          <w:bCs/>
          <w:color w:val="auto"/>
          <w:sz w:val="32"/>
          <w:szCs w:val="32"/>
          <w:highlight w:val="none"/>
          <w:lang w:eastAsia="zh-CN"/>
        </w:rPr>
        <w:sectPr>
          <w:footerReference r:id="rId9" w:type="default"/>
          <w:pgSz w:w="11910" w:h="16840"/>
          <w:pgMar w:top="1418" w:right="851" w:bottom="1418" w:left="1134" w:header="0" w:footer="601" w:gutter="0"/>
          <w:pgNumType w:start="1"/>
          <w:cols w:space="720" w:num="1"/>
        </w:sectPr>
      </w:pPr>
    </w:p>
    <w:p w14:paraId="2AD48874">
      <w:pPr>
        <w:pStyle w:val="3"/>
        <w:spacing w:before="0" w:after="0" w:line="360" w:lineRule="auto"/>
        <w:ind w:left="110" w:leftChars="50" w:right="110" w:rightChars="50"/>
        <w:jc w:val="center"/>
        <w:rPr>
          <w:rFonts w:hint="eastAsia" w:ascii="仿宋" w:hAnsi="仿宋" w:eastAsia="仿宋"/>
          <w:b/>
          <w:bCs/>
          <w:color w:val="auto"/>
          <w:sz w:val="32"/>
          <w:szCs w:val="32"/>
          <w:highlight w:val="none"/>
          <w:lang w:eastAsia="zh-CN"/>
        </w:rPr>
      </w:pPr>
      <w:bookmarkStart w:id="6" w:name="_Toc12418"/>
      <w:r>
        <w:rPr>
          <w:rFonts w:ascii="仿宋" w:hAnsi="仿宋" w:eastAsia="仿宋"/>
          <w:b/>
          <w:bCs/>
          <w:color w:val="auto"/>
          <w:sz w:val="32"/>
          <w:szCs w:val="32"/>
          <w:highlight w:val="none"/>
          <w:lang w:eastAsia="zh-CN"/>
        </w:rPr>
        <w:t>前言</w:t>
      </w:r>
      <w:bookmarkEnd w:id="6"/>
    </w:p>
    <w:p w14:paraId="54CCAB84">
      <w:pPr>
        <w:pStyle w:val="11"/>
        <w:spacing w:line="360" w:lineRule="auto"/>
        <w:ind w:left="110" w:leftChars="50" w:right="110" w:rightChars="50" w:firstLine="500" w:firstLineChars="200"/>
        <w:rPr>
          <w:rFonts w:hint="eastAsia"/>
          <w:color w:val="auto"/>
          <w:highlight w:val="none"/>
          <w:lang w:eastAsia="zh-CN"/>
        </w:rPr>
      </w:pPr>
      <w:r>
        <w:rPr>
          <w:rFonts w:hint="eastAsia"/>
          <w:color w:val="auto"/>
          <w:spacing w:val="-15"/>
          <w:highlight w:val="none"/>
          <w:lang w:eastAsia="zh-CN"/>
        </w:rPr>
        <w:t>为落实《中共中央国务院关于进一步深化农村改革扎实推进乡村全面振兴的意见》（2025年中央一号文件）、《农业农村部落实中共中央国务院关于进一步深化农村改革扎实推进乡村全面振兴工作部署的实施意见》（农发〔2025〕1号）、《自然资源部办公厅关于乡村地区“通则式”规划技术管理规定编制要求的通知》（自然资办发〔2025〕13号）、《自然资源部中央农村工作领导小组办公室关于学习运用“千万工程”经验提高村庄规划编制质量和实效的通知》（自然资发〔2024〕1号）和《关于学习运用“千万工程”经验做好2024年村庄规划编制实施工作的通知》（桂自然资发〔2024〕16号）有关要求，加快实现乡村地区空间规划管理全覆盖，为乡村地区规划许可提供支撑。以广西壮族自治区自然资源厅办公室关于印发《广西壮族自治区乡村地区“通则式”规划管理规定编制指引（试行）》的通知（桂自然资办〔2024〕196号）为指导，结合柳州市柳</w:t>
      </w:r>
      <w:r>
        <w:rPr>
          <w:rFonts w:hint="eastAsia"/>
          <w:color w:val="auto"/>
          <w:spacing w:val="-15"/>
          <w:highlight w:val="none"/>
          <w:lang w:val="en-US" w:eastAsia="zh-CN"/>
        </w:rPr>
        <w:t>南</w:t>
      </w:r>
      <w:r>
        <w:rPr>
          <w:rFonts w:hint="eastAsia"/>
          <w:color w:val="auto"/>
          <w:spacing w:val="-15"/>
          <w:highlight w:val="none"/>
          <w:lang w:eastAsia="zh-CN"/>
        </w:rPr>
        <w:t>区乡村地区实际规划管理需要，制定《柳州市柳</w:t>
      </w:r>
      <w:r>
        <w:rPr>
          <w:rFonts w:hint="eastAsia"/>
          <w:color w:val="auto"/>
          <w:spacing w:val="-15"/>
          <w:highlight w:val="none"/>
          <w:lang w:val="en-US" w:eastAsia="zh-CN"/>
        </w:rPr>
        <w:t>南</w:t>
      </w:r>
      <w:r>
        <w:rPr>
          <w:rFonts w:hint="eastAsia"/>
          <w:color w:val="auto"/>
          <w:spacing w:val="-15"/>
          <w:highlight w:val="none"/>
          <w:lang w:eastAsia="zh-CN"/>
        </w:rPr>
        <w:t>区乡村地区“通则式”规划管理规定（试行）》。</w:t>
      </w:r>
    </w:p>
    <w:p w14:paraId="073A632E">
      <w:pPr>
        <w:spacing w:line="360" w:lineRule="auto"/>
        <w:ind w:left="110" w:leftChars="50" w:right="110" w:rightChars="50" w:firstLine="560" w:firstLineChars="200"/>
        <w:rPr>
          <w:rFonts w:hint="eastAsia"/>
          <w:color w:val="auto"/>
          <w:sz w:val="28"/>
          <w:szCs w:val="28"/>
          <w:highlight w:val="none"/>
          <w:lang w:eastAsia="zh-CN"/>
        </w:rPr>
        <w:sectPr>
          <w:footerReference r:id="rId10" w:type="default"/>
          <w:pgSz w:w="11910" w:h="16840"/>
          <w:pgMar w:top="1418" w:right="851" w:bottom="1418" w:left="1134" w:header="0" w:footer="601" w:gutter="0"/>
          <w:pgNumType w:fmt="decimal" w:start="1"/>
          <w:cols w:space="720" w:num="1"/>
        </w:sectPr>
      </w:pPr>
    </w:p>
    <w:p w14:paraId="6DE63A4E">
      <w:pPr>
        <w:pStyle w:val="3"/>
        <w:keepNext w:val="0"/>
        <w:keepLines w:val="0"/>
        <w:spacing w:before="0" w:after="0"/>
        <w:ind w:right="296"/>
        <w:jc w:val="center"/>
        <w:rPr>
          <w:rFonts w:hint="eastAsia" w:ascii="微软雅黑" w:hAnsi="微软雅黑" w:eastAsia="微软雅黑" w:cs="微软雅黑"/>
          <w:b/>
          <w:bCs/>
          <w:color w:val="auto"/>
          <w:sz w:val="32"/>
          <w:szCs w:val="32"/>
          <w:highlight w:val="none"/>
          <w:lang w:eastAsia="zh-CN"/>
        </w:rPr>
      </w:pPr>
      <w:bookmarkStart w:id="7" w:name="_bookmark1"/>
      <w:bookmarkEnd w:id="7"/>
      <w:bookmarkStart w:id="8" w:name="_Toc27180"/>
      <w:r>
        <w:rPr>
          <w:rFonts w:ascii="微软雅黑" w:hAnsi="微软雅黑" w:eastAsia="微软雅黑" w:cs="微软雅黑"/>
          <w:b/>
          <w:bCs/>
          <w:color w:val="auto"/>
          <w:sz w:val="32"/>
          <w:szCs w:val="32"/>
          <w:highlight w:val="none"/>
          <w:lang w:eastAsia="zh-CN"/>
        </w:rPr>
        <w:t>第一章 总则</w:t>
      </w:r>
      <w:bookmarkEnd w:id="8"/>
    </w:p>
    <w:p w14:paraId="2345571C">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一</w:t>
      </w:r>
      <w:r>
        <w:rPr>
          <w:rFonts w:hint="eastAsia" w:ascii="微软雅黑" w:hAnsi="微软雅黑" w:eastAsia="微软雅黑"/>
          <w:b/>
          <w:color w:val="auto"/>
          <w:highlight w:val="none"/>
          <w:lang w:eastAsia="zh-CN"/>
        </w:rPr>
        <w:t>条</w:t>
      </w:r>
      <w:r>
        <w:rPr>
          <w:rFonts w:hint="eastAsia"/>
          <w:color w:val="auto"/>
          <w:highlight w:val="none"/>
          <w:lang w:eastAsia="zh-CN"/>
        </w:rPr>
        <w:t xml:space="preserve"> 本通则作为城镇开发边界以外，未有经依法批准村庄规划（详细规划）覆盖的区域实施国土空间用途管制、核发乡村建设规划许可的依据。已有经依法批准村庄规划（详细规划）覆盖的区域，应以村庄规划作为用途管制及核发规划许可的依据。已批准的村庄规划相关内容未明确的，可结合本通则核发规划许可</w:t>
      </w:r>
      <w:r>
        <w:rPr>
          <w:color w:val="auto"/>
          <w:highlight w:val="none"/>
          <w:lang w:eastAsia="zh-CN"/>
        </w:rPr>
        <w:t>。。</w:t>
      </w:r>
    </w:p>
    <w:p w14:paraId="362B91CF">
      <w:pPr>
        <w:pStyle w:val="11"/>
        <w:spacing w:line="360" w:lineRule="auto"/>
        <w:ind w:left="110" w:leftChars="50" w:right="110" w:rightChars="50" w:firstLine="560" w:firstLineChars="200"/>
        <w:rPr>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对于已批准的村庄规划、编制中但未入库的村庄，以及行政村外国有农林场，可参考本通则执行。较大规模的新型社区或集体经营性建设用地入市项目，应根据本地情况编制详细规划或选址论证报告，确定用地规模、性质、容积率、密度、绿地率等指标，作为许可依据。</w:t>
      </w:r>
    </w:p>
    <w:p w14:paraId="182AFFAB">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三</w:t>
      </w:r>
      <w:r>
        <w:rPr>
          <w:rFonts w:hint="eastAsia" w:ascii="微软雅黑" w:hAnsi="微软雅黑" w:eastAsia="微软雅黑"/>
          <w:b/>
          <w:color w:val="auto"/>
          <w:highlight w:val="none"/>
          <w:lang w:eastAsia="zh-CN"/>
        </w:rPr>
        <w:t>条</w:t>
      </w:r>
      <w:r>
        <w:rPr>
          <w:rFonts w:hint="eastAsia"/>
          <w:color w:val="auto"/>
          <w:spacing w:val="-12"/>
          <w:highlight w:val="none"/>
          <w:lang w:eastAsia="zh-CN"/>
        </w:rPr>
        <w:t xml:space="preserve"> 本通则依据国家及地方法律法规、政策、技术标准和相关规划制定（详见附录三）</w:t>
      </w:r>
      <w:r>
        <w:rPr>
          <w:color w:val="auto"/>
          <w:highlight w:val="none"/>
          <w:lang w:eastAsia="zh-CN"/>
        </w:rPr>
        <w:t>。</w:t>
      </w:r>
    </w:p>
    <w:p w14:paraId="7FBCA215">
      <w:pPr>
        <w:pStyle w:val="11"/>
        <w:spacing w:line="360" w:lineRule="auto"/>
        <w:ind w:left="110" w:leftChars="50" w:right="110" w:rightChars="50" w:firstLine="560" w:firstLineChars="200"/>
        <w:rPr>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四</w:t>
      </w:r>
      <w:r>
        <w:rPr>
          <w:rFonts w:hint="eastAsia" w:ascii="微软雅黑" w:hAnsi="微软雅黑" w:eastAsia="微软雅黑"/>
          <w:b/>
          <w:color w:val="auto"/>
          <w:highlight w:val="none"/>
          <w:lang w:eastAsia="zh-CN"/>
        </w:rPr>
        <w:t>条</w:t>
      </w:r>
      <w:r>
        <w:rPr>
          <w:rFonts w:hint="eastAsia"/>
          <w:color w:val="auto"/>
          <w:spacing w:val="-12"/>
          <w:highlight w:val="none"/>
          <w:lang w:eastAsia="zh-CN"/>
        </w:rPr>
        <w:t xml:space="preserve"> 乡村建设规划许可证核发的范围应按如下规定执行</w:t>
      </w:r>
      <w:r>
        <w:rPr>
          <w:color w:val="auto"/>
          <w:highlight w:val="none"/>
          <w:lang w:eastAsia="zh-CN"/>
        </w:rPr>
        <w:t>。</w:t>
      </w:r>
    </w:p>
    <w:p w14:paraId="5BE82170">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（一）需要办理乡村建设规划许可证的情形。</w:t>
      </w:r>
    </w:p>
    <w:p w14:paraId="3EE23EA8">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在城镇开发边界外的集体土地上进行乡村建设项目及村民住房建设，应当取得乡村建设规划许可证，建设单位或者个人应当按照规划许可的内容进行建设。</w:t>
      </w:r>
    </w:p>
    <w:p w14:paraId="7751C2D2">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（二）免于办理乡村建设规划许可证的情形。</w:t>
      </w:r>
    </w:p>
    <w:p w14:paraId="0A09CEF4">
      <w:pPr>
        <w:pStyle w:val="11"/>
        <w:spacing w:line="360" w:lineRule="auto"/>
        <w:ind w:left="110" w:leftChars="50" w:right="110" w:rightChars="50" w:firstLine="560" w:firstLineChars="200"/>
        <w:rPr>
          <w:color w:val="auto"/>
          <w:highlight w:val="none"/>
          <w:lang w:eastAsia="zh-CN"/>
        </w:rPr>
      </w:pPr>
      <w:r>
        <w:rPr>
          <w:rFonts w:hint="eastAsia"/>
          <w:color w:val="auto"/>
          <w:highlight w:val="none"/>
          <w:lang w:eastAsia="zh-CN"/>
        </w:rPr>
        <w:t>列入乡村振兴规划、计划或项目库的农村生活污水处理、垃圾储运、粪污处理、公共厕所等农村人居环境建设项目，村内道路等基础设施项目和农村给排水、供电、供气、通讯、文化体育等小型（项目用地面积不超过 400 平方米，但露天篮球场不受此面积限制）零星公用公服设施，符合国土空间规划和用途管制规则，满足有关法律法规、有关标准规范和地方技术规定要求的，确保安全利用的前提下，经向城区（街道）乡村建设管理部门提供建设地点、规模等信息报备后可免办理乡村建设规划许可手续。</w:t>
      </w:r>
    </w:p>
    <w:p w14:paraId="5ACDD62C">
      <w:pPr>
        <w:pStyle w:val="3"/>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2"/>
          <w:szCs w:val="32"/>
          <w:highlight w:val="none"/>
          <w:lang w:eastAsia="zh-CN"/>
        </w:rPr>
      </w:pPr>
      <w:bookmarkStart w:id="9" w:name="_bookmark2"/>
      <w:bookmarkEnd w:id="9"/>
      <w:bookmarkStart w:id="10" w:name="_Toc14226"/>
      <w:r>
        <w:rPr>
          <w:rFonts w:ascii="微软雅黑" w:hAnsi="微软雅黑" w:eastAsia="微软雅黑" w:cs="微软雅黑"/>
          <w:b/>
          <w:bCs/>
          <w:color w:val="auto"/>
          <w:sz w:val="32"/>
          <w:szCs w:val="32"/>
          <w:highlight w:val="none"/>
          <w:lang w:eastAsia="zh-CN"/>
        </w:rPr>
        <w:t>第二章 村庄概况</w:t>
      </w:r>
      <w:bookmarkEnd w:id="10"/>
    </w:p>
    <w:p w14:paraId="7791205B">
      <w:pPr>
        <w:pStyle w:val="11"/>
        <w:spacing w:line="360" w:lineRule="auto"/>
        <w:ind w:left="110" w:leftChars="50" w:right="110" w:rightChars="50" w:firstLine="560" w:firstLineChars="200"/>
        <w:jc w:val="both"/>
        <w:rPr>
          <w:rFonts w:hint="default"/>
          <w:color w:val="auto"/>
          <w:highlight w:val="none"/>
          <w:lang w:val="en-US" w:eastAsia="zh-CN"/>
        </w:rPr>
      </w:pPr>
      <w:bookmarkStart w:id="11" w:name="_bookmark3"/>
      <w:bookmarkEnd w:id="11"/>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五</w:t>
      </w:r>
      <w:r>
        <w:rPr>
          <w:rFonts w:hint="eastAsia" w:ascii="微软雅黑" w:hAnsi="微软雅黑" w:eastAsia="微软雅黑"/>
          <w:b/>
          <w:color w:val="auto"/>
          <w:highlight w:val="none"/>
          <w:lang w:eastAsia="zh-CN"/>
        </w:rPr>
        <w:t xml:space="preserve">条 </w:t>
      </w:r>
      <w:r>
        <w:rPr>
          <w:rFonts w:hint="eastAsia"/>
          <w:color w:val="auto"/>
          <w:spacing w:val="-9"/>
          <w:highlight w:val="none"/>
          <w:lang w:eastAsia="zh-CN"/>
        </w:rPr>
        <w:t>柳南区域下辖</w:t>
      </w:r>
      <w:r>
        <w:rPr>
          <w:rFonts w:hint="eastAsia"/>
          <w:color w:val="auto"/>
          <w:spacing w:val="-9"/>
          <w:highlight w:val="none"/>
          <w:lang w:val="en-US" w:eastAsia="zh-CN"/>
        </w:rPr>
        <w:t>8</w:t>
      </w:r>
      <w:r>
        <w:rPr>
          <w:rFonts w:hint="eastAsia"/>
          <w:color w:val="auto"/>
          <w:spacing w:val="-9"/>
          <w:highlight w:val="none"/>
          <w:lang w:eastAsia="zh-CN"/>
        </w:rPr>
        <w:t>个街道、3个镇：河西街道、柳南街道、柳石街道、南站街道、鹅山街道、银山街道、潭西街道、南环街道、太阳村镇、流山镇、洛满镇，下辖3</w:t>
      </w:r>
      <w:r>
        <w:rPr>
          <w:rFonts w:hint="eastAsia"/>
          <w:color w:val="auto"/>
          <w:spacing w:val="-9"/>
          <w:highlight w:val="none"/>
          <w:lang w:val="en-US" w:eastAsia="zh-CN"/>
        </w:rPr>
        <w:t>9</w:t>
      </w:r>
      <w:r>
        <w:rPr>
          <w:rFonts w:hint="eastAsia"/>
          <w:color w:val="auto"/>
          <w:spacing w:val="-9"/>
          <w:highlight w:val="none"/>
          <w:lang w:eastAsia="zh-CN"/>
        </w:rPr>
        <w:t>个行政村</w:t>
      </w:r>
      <w:r>
        <w:rPr>
          <w:color w:val="auto"/>
          <w:highlight w:val="none"/>
          <w:lang w:eastAsia="zh-CN"/>
        </w:rPr>
        <w:t>。</w:t>
      </w:r>
      <w:r>
        <w:rPr>
          <w:rFonts w:hint="eastAsia"/>
          <w:color w:val="auto"/>
          <w:highlight w:val="none"/>
          <w:lang w:val="en-US" w:eastAsia="zh-CN"/>
        </w:rPr>
        <w:t>其中重点镇：太阳村镇、洛满镇；一般镇：流山镇。</w:t>
      </w:r>
    </w:p>
    <w:p w14:paraId="06675BD5">
      <w:pPr>
        <w:pStyle w:val="11"/>
        <w:spacing w:line="360" w:lineRule="auto"/>
        <w:ind w:left="110" w:leftChars="50" w:right="110" w:rightChars="50" w:firstLine="560" w:firstLineChars="200"/>
        <w:rPr>
          <w:rFonts w:hint="eastAsia"/>
          <w:color w:val="auto"/>
          <w:highlight w:val="none"/>
          <w:lang w:eastAsia="zh-CN"/>
        </w:rPr>
      </w:pPr>
      <w:bookmarkStart w:id="12" w:name="_bookmark4"/>
      <w:bookmarkEnd w:id="12"/>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对柳南区域范围内的39个行政村单元（不含城镇社区等）实施村庄分类发展，划分为20个集聚提升类村庄、13个城郊融合类村庄、6个暂不分类村庄三种类型，并对不同类型的村庄提供相应的发展指引</w:t>
      </w:r>
      <w:r>
        <w:rPr>
          <w:color w:val="auto"/>
          <w:highlight w:val="none"/>
          <w:lang w:eastAsia="zh-CN"/>
        </w:rPr>
        <w:t>。</w:t>
      </w:r>
    </w:p>
    <w:p w14:paraId="463AA46A">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全区各村庄类型的发展指引按照如下规定执行</w:t>
      </w:r>
      <w:r>
        <w:rPr>
          <w:color w:val="auto"/>
          <w:highlight w:val="none"/>
          <w:lang w:eastAsia="zh-CN"/>
        </w:rPr>
        <w:t>：</w:t>
      </w:r>
    </w:p>
    <w:p w14:paraId="52C24C86">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（一</w:t>
      </w:r>
      <w:r>
        <w:rPr>
          <w:color w:val="auto"/>
          <w:spacing w:val="-20"/>
          <w:highlight w:val="none"/>
          <w:lang w:eastAsia="zh-CN"/>
        </w:rPr>
        <w:t>）</w:t>
      </w:r>
      <w:r>
        <w:rPr>
          <w:rFonts w:hint="eastAsia"/>
          <w:color w:val="auto"/>
          <w:spacing w:val="-7"/>
          <w:highlight w:val="none"/>
          <w:lang w:eastAsia="zh-CN"/>
        </w:rPr>
        <w:t>集聚提升类村庄。聚焦解决在产业发展、基础设施及空间品质等方面的弱项短板问题，着力推动实现质的提升，增强村庄吸引人口和产业的能力，保障“集聚”和“提升”的合理用地需求</w:t>
      </w:r>
      <w:r>
        <w:rPr>
          <w:color w:val="auto"/>
          <w:spacing w:val="-5"/>
          <w:highlight w:val="none"/>
          <w:lang w:eastAsia="zh-CN"/>
        </w:rPr>
        <w:t>。</w:t>
      </w:r>
    </w:p>
    <w:p w14:paraId="02FE9E9B">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（二</w:t>
      </w:r>
      <w:r>
        <w:rPr>
          <w:color w:val="auto"/>
          <w:spacing w:val="-15"/>
          <w:highlight w:val="none"/>
          <w:lang w:eastAsia="zh-CN"/>
        </w:rPr>
        <w:t>）</w:t>
      </w:r>
      <w:r>
        <w:rPr>
          <w:rFonts w:hint="eastAsia"/>
          <w:color w:val="auto"/>
          <w:spacing w:val="-8"/>
          <w:highlight w:val="none"/>
          <w:lang w:eastAsia="zh-CN"/>
        </w:rPr>
        <w:t>城郊融合类村庄。积极融入区域城镇化发展，承接城镇功能外溢，加快推动与城镇公共服务设施的共建共享、基础设施的互联互通，促进城乡土地市场统一建设，实施城郊空间品质一体化管控</w:t>
      </w:r>
      <w:r>
        <w:rPr>
          <w:color w:val="auto"/>
          <w:spacing w:val="-5"/>
          <w:highlight w:val="none"/>
          <w:lang w:eastAsia="zh-CN"/>
        </w:rPr>
        <w:t>。</w:t>
      </w:r>
    </w:p>
    <w:p w14:paraId="100A6B8A">
      <w:pPr>
        <w:pStyle w:val="11"/>
        <w:spacing w:line="360" w:lineRule="auto"/>
        <w:ind w:left="110" w:leftChars="50" w:right="110" w:rightChars="50" w:firstLine="560" w:firstLineChars="200"/>
        <w:jc w:val="both"/>
        <w:rPr>
          <w:color w:val="auto"/>
          <w:spacing w:val="-8"/>
          <w:highlight w:val="none"/>
          <w:lang w:eastAsia="zh-CN"/>
        </w:rPr>
      </w:pPr>
      <w:r>
        <w:rPr>
          <w:color w:val="auto"/>
          <w:highlight w:val="none"/>
          <w:lang w:eastAsia="zh-CN"/>
        </w:rPr>
        <w:t>（三</w:t>
      </w:r>
      <w:r>
        <w:rPr>
          <w:color w:val="auto"/>
          <w:spacing w:val="-15"/>
          <w:highlight w:val="none"/>
          <w:lang w:eastAsia="zh-CN"/>
        </w:rPr>
        <w:t>）</w:t>
      </w:r>
      <w:r>
        <w:rPr>
          <w:rFonts w:hint="eastAsia"/>
          <w:color w:val="auto"/>
          <w:spacing w:val="-8"/>
          <w:highlight w:val="none"/>
          <w:lang w:eastAsia="zh-CN"/>
        </w:rPr>
        <w:t>暂不分类的村庄：</w:t>
      </w:r>
      <w:r>
        <w:rPr>
          <w:rFonts w:hint="default"/>
          <w:color w:val="auto"/>
          <w:spacing w:val="0"/>
          <w:highlight w:val="none"/>
          <w:lang w:val="en-US" w:eastAsia="zh-CN"/>
        </w:rPr>
        <w:t>除以上类型以外的其他村庄，如城镇街道、城中村等</w:t>
      </w:r>
      <w:r>
        <w:rPr>
          <w:rFonts w:hint="eastAsia"/>
          <w:color w:val="auto"/>
          <w:spacing w:val="0"/>
          <w:highlight w:val="none"/>
          <w:lang w:val="en-US" w:eastAsia="zh-CN"/>
        </w:rPr>
        <w:t>。</w:t>
      </w:r>
      <w:r>
        <w:rPr>
          <w:rFonts w:hint="eastAsia"/>
          <w:color w:val="auto"/>
          <w:spacing w:val="-8"/>
          <w:highlight w:val="none"/>
          <w:lang w:eastAsia="zh-CN"/>
        </w:rPr>
        <w:t>应加强村庄人居环境整治，探索产业发展新路径，优化土地利用结构，实现村庄发展和用地集约的平衡。</w:t>
      </w:r>
    </w:p>
    <w:p w14:paraId="7FE55AFF">
      <w:pPr>
        <w:pStyle w:val="3"/>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2"/>
          <w:szCs w:val="32"/>
          <w:highlight w:val="none"/>
          <w:lang w:eastAsia="zh-CN"/>
        </w:rPr>
      </w:pPr>
      <w:bookmarkStart w:id="13" w:name="_bookmark5"/>
      <w:bookmarkEnd w:id="13"/>
      <w:bookmarkStart w:id="14" w:name="_Toc8673"/>
      <w:r>
        <w:rPr>
          <w:rFonts w:ascii="微软雅黑" w:hAnsi="微软雅黑" w:eastAsia="微软雅黑" w:cs="微软雅黑"/>
          <w:b/>
          <w:bCs/>
          <w:color w:val="auto"/>
          <w:sz w:val="32"/>
          <w:szCs w:val="32"/>
          <w:highlight w:val="none"/>
          <w:lang w:eastAsia="zh-CN"/>
        </w:rPr>
        <w:t>第三章 底线管控</w:t>
      </w:r>
      <w:bookmarkEnd w:id="14"/>
    </w:p>
    <w:p w14:paraId="1CE0E58B">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15" w:name="_bookmark6"/>
      <w:bookmarkEnd w:id="15"/>
      <w:r>
        <w:rPr>
          <w:rFonts w:ascii="微软雅黑" w:hAnsi="微软雅黑" w:eastAsia="微软雅黑" w:cs="微软雅黑"/>
          <w:b/>
          <w:bCs/>
          <w:color w:val="auto"/>
          <w:sz w:val="30"/>
          <w:szCs w:val="30"/>
          <w:highlight w:val="none"/>
          <w:lang w:eastAsia="zh-CN"/>
        </w:rPr>
        <w:t>第一节 落实“三区三线”</w:t>
      </w:r>
    </w:p>
    <w:p w14:paraId="05A3C55E">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八</w:t>
      </w:r>
      <w:r>
        <w:rPr>
          <w:rFonts w:hint="eastAsia" w:ascii="微软雅黑" w:hAnsi="微软雅黑" w:eastAsia="微软雅黑"/>
          <w:b/>
          <w:color w:val="auto"/>
          <w:highlight w:val="none"/>
          <w:lang w:eastAsia="zh-CN"/>
        </w:rPr>
        <w:t>条</w:t>
      </w:r>
      <w:r>
        <w:rPr>
          <w:rFonts w:hint="eastAsia"/>
          <w:color w:val="auto"/>
          <w:highlight w:val="none"/>
          <w:lang w:eastAsia="zh-CN"/>
        </w:rPr>
        <w:t xml:space="preserve"> 严格保护耕地和永久基本农田。到2035年，全区耕地保有量不低于</w:t>
      </w:r>
      <w:r>
        <w:rPr>
          <w:rFonts w:hint="eastAsia"/>
          <w:color w:val="auto"/>
          <w:highlight w:val="none"/>
          <w:lang w:val="en-US" w:eastAsia="zh-CN"/>
        </w:rPr>
        <w:t>13.4745</w:t>
      </w:r>
      <w:r>
        <w:rPr>
          <w:rFonts w:hint="eastAsia"/>
          <w:color w:val="auto"/>
          <w:highlight w:val="none"/>
          <w:lang w:eastAsia="zh-CN"/>
        </w:rPr>
        <w:t>万亩，永久基本农田保护面积不低于</w:t>
      </w:r>
      <w:r>
        <w:rPr>
          <w:rFonts w:hint="eastAsia"/>
          <w:color w:val="auto"/>
          <w:highlight w:val="none"/>
          <w:lang w:val="en-US" w:eastAsia="zh-CN"/>
        </w:rPr>
        <w:t>10.5681</w:t>
      </w:r>
      <w:r>
        <w:rPr>
          <w:rFonts w:hint="eastAsia"/>
          <w:color w:val="auto"/>
          <w:highlight w:val="none"/>
          <w:lang w:eastAsia="zh-CN"/>
        </w:rPr>
        <w:t>万亩。相关管控按国家和广西规定执行</w:t>
      </w:r>
      <w:r>
        <w:rPr>
          <w:color w:val="auto"/>
          <w:spacing w:val="-5"/>
          <w:highlight w:val="none"/>
          <w:lang w:eastAsia="zh-CN"/>
        </w:rPr>
        <w:t>。</w:t>
      </w:r>
    </w:p>
    <w:p w14:paraId="76D760EA">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九</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落实生态保护红线。到2035年，全区生态保护红线面积不低于</w:t>
      </w:r>
      <w:r>
        <w:rPr>
          <w:rFonts w:hint="eastAsia"/>
          <w:color w:val="auto"/>
          <w:highlight w:val="none"/>
          <w:lang w:val="en-US" w:eastAsia="zh-CN"/>
        </w:rPr>
        <w:t>7941</w:t>
      </w:r>
      <w:r>
        <w:rPr>
          <w:rFonts w:hint="eastAsia"/>
          <w:color w:val="auto"/>
          <w:highlight w:val="none"/>
          <w:lang w:eastAsia="zh-CN"/>
        </w:rPr>
        <w:t>公顷，主要类型为水源涵养和水土保持，管控按国家和广西规定执行。</w:t>
      </w:r>
    </w:p>
    <w:p w14:paraId="0F4D9378">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16" w:name="_bookmark7"/>
      <w:bookmarkEnd w:id="16"/>
      <w:r>
        <w:rPr>
          <w:rFonts w:ascii="微软雅黑" w:hAnsi="微软雅黑" w:eastAsia="微软雅黑" w:cs="微软雅黑"/>
          <w:b/>
          <w:bCs/>
          <w:color w:val="auto"/>
          <w:sz w:val="30"/>
          <w:szCs w:val="30"/>
          <w:highlight w:val="none"/>
          <w:lang w:eastAsia="zh-CN"/>
        </w:rPr>
        <w:t>第二节 村庄建设边界</w:t>
      </w:r>
    </w:p>
    <w:p w14:paraId="2E1F1180">
      <w:pPr>
        <w:pStyle w:val="11"/>
        <w:tabs>
          <w:tab w:val="left" w:pos="2200"/>
        </w:tabs>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 xml:space="preserve">第十条 </w:t>
      </w:r>
      <w:r>
        <w:rPr>
          <w:rFonts w:hint="eastAsia"/>
          <w:color w:val="auto"/>
          <w:highlight w:val="none"/>
          <w:lang w:eastAsia="zh-CN"/>
        </w:rPr>
        <w:t>合理分配村庄建设用地规模。结合各行政村实际情况，按“区县级总量控制、乡（镇)单元统筹、行政村具体落实”的原则对村庄建设用地规模进行总量管控，合理预留腾退空间复垦过渡期，合理确定村庄建设用地规模。（村庄建设用地指标分解详见附表一）</w:t>
      </w:r>
    </w:p>
    <w:p w14:paraId="0A2EEFAE">
      <w:pPr>
        <w:tabs>
          <w:tab w:val="left" w:pos="2200"/>
        </w:tabs>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第十</w:t>
      </w:r>
      <w:r>
        <w:rPr>
          <w:rFonts w:hint="eastAsia" w:ascii="微软雅黑" w:hAnsi="微软雅黑" w:eastAsia="微软雅黑"/>
          <w:b/>
          <w:color w:val="auto"/>
          <w:sz w:val="28"/>
          <w:szCs w:val="28"/>
          <w:highlight w:val="none"/>
          <w:lang w:val="en-US" w:eastAsia="zh-CN"/>
        </w:rPr>
        <w:t>一</w:t>
      </w:r>
      <w:r>
        <w:rPr>
          <w:rFonts w:hint="eastAsia" w:ascii="微软雅黑" w:hAnsi="微软雅黑" w:eastAsia="微软雅黑"/>
          <w:b/>
          <w:color w:val="auto"/>
          <w:sz w:val="28"/>
          <w:szCs w:val="28"/>
          <w:highlight w:val="none"/>
          <w:lang w:eastAsia="zh-CN"/>
        </w:rPr>
        <w:t xml:space="preserve">条 </w:t>
      </w:r>
      <w:r>
        <w:rPr>
          <w:rFonts w:hint="eastAsia"/>
          <w:color w:val="auto"/>
          <w:sz w:val="28"/>
          <w:szCs w:val="28"/>
          <w:highlight w:val="none"/>
          <w:lang w:eastAsia="zh-CN"/>
        </w:rPr>
        <w:t>村庄建设边界管控如下</w:t>
      </w:r>
      <w:r>
        <w:rPr>
          <w:color w:val="auto"/>
          <w:sz w:val="28"/>
          <w:szCs w:val="28"/>
          <w:highlight w:val="none"/>
          <w:lang w:eastAsia="zh-CN"/>
        </w:rPr>
        <w:t>：</w:t>
      </w:r>
    </w:p>
    <w:p w14:paraId="45AD9D95">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已编制村庄规划的，村庄建设边界按照规划要求管控；未编制村庄规划的，村庄建设边界为《柳州市国土空间总体规划 （2021—2035 年）》数据库中确定的村庄建设区范围。未经批准不得随意调整修改村庄建设边界，因实际情况确需更改的，应按相关程序调整修改。</w:t>
      </w:r>
    </w:p>
    <w:p w14:paraId="30833FE3">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w:t>
      </w:r>
      <w:r>
        <w:rPr>
          <w:rFonts w:hint="eastAsia"/>
          <w:color w:val="auto"/>
          <w:spacing w:val="-1"/>
          <w:highlight w:val="none"/>
          <w:lang w:eastAsia="zh-CN"/>
        </w:rPr>
        <w:t>加强对乡村地区土地的规划、建设和监管，强化土地节约集约利用，通过土地综合整治、城乡建设用地增减挂钩等方式优化土地资源配置，保障各类村庄建设用地新增需求</w:t>
      </w:r>
      <w:r>
        <w:rPr>
          <w:color w:val="auto"/>
          <w:spacing w:val="-5"/>
          <w:highlight w:val="none"/>
          <w:lang w:eastAsia="zh-CN"/>
        </w:rPr>
        <w:t>。</w:t>
      </w:r>
    </w:p>
    <w:p w14:paraId="2AF9E13F">
      <w:pPr>
        <w:pStyle w:val="11"/>
        <w:spacing w:line="360" w:lineRule="auto"/>
        <w:ind w:left="110" w:leftChars="50" w:right="110" w:rightChars="50" w:firstLine="560" w:firstLineChars="200"/>
        <w:jc w:val="both"/>
        <w:rPr>
          <w:rFonts w:hint="eastAsia"/>
          <w:color w:val="auto"/>
          <w:highlight w:val="none"/>
          <w:lang w:eastAsia="zh-CN"/>
        </w:rPr>
      </w:pPr>
      <w:r>
        <w:rPr>
          <w:rFonts w:hint="eastAsia"/>
          <w:color w:val="auto"/>
          <w:highlight w:val="none"/>
          <w:lang w:eastAsia="zh-CN"/>
        </w:rPr>
        <w:t>（三）原则上本通则主要适用于村庄建设边界内符合条件的农民建房、乡村公共服务设施、商业服务业设施和公用设施建设、使用存量建设用地的乡村产业项目建设等情形。主要包括以下建设用地类型：农村宅基地、农村社区服务设施用地、公共管理与公共服务用地、商业服务业用地、工业用地、物流仓储用地、公用设施用地等。在充分进行可行性、必要性研究的基础上，在不影响安全、不破坏功能的前提下，允许建设区域性基础设施廊道，并应做好相应的补偿措施。</w:t>
      </w:r>
    </w:p>
    <w:p w14:paraId="36561414">
      <w:pPr>
        <w:pStyle w:val="11"/>
        <w:spacing w:line="360" w:lineRule="auto"/>
        <w:ind w:left="110" w:leftChars="50" w:right="110" w:rightChars="50" w:firstLine="560" w:firstLineChars="200"/>
        <w:jc w:val="both"/>
        <w:rPr>
          <w:color w:val="auto"/>
          <w:spacing w:val="-5"/>
          <w:highlight w:val="none"/>
          <w:lang w:eastAsia="zh-CN"/>
        </w:rPr>
      </w:pPr>
      <w:r>
        <w:rPr>
          <w:rFonts w:hint="eastAsia"/>
          <w:color w:val="auto"/>
          <w:highlight w:val="none"/>
          <w:lang w:eastAsia="zh-CN"/>
        </w:rPr>
        <w:t>（四）对村庄建设边界外的存量建设用地，通过土地整理、置换、复垦等方式逐渐向村庄建设边界内集中，原土地可根据实际需要调整为非建设用地</w:t>
      </w:r>
      <w:r>
        <w:rPr>
          <w:color w:val="auto"/>
          <w:spacing w:val="-5"/>
          <w:highlight w:val="none"/>
          <w:lang w:eastAsia="zh-CN"/>
        </w:rPr>
        <w:t>。</w:t>
      </w:r>
    </w:p>
    <w:p w14:paraId="1F4D1278">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17" w:name="_bookmark8"/>
      <w:bookmarkEnd w:id="17"/>
      <w:r>
        <w:rPr>
          <w:rFonts w:ascii="微软雅黑" w:hAnsi="微软雅黑" w:eastAsia="微软雅黑" w:cs="微软雅黑"/>
          <w:b/>
          <w:bCs/>
          <w:color w:val="auto"/>
          <w:sz w:val="30"/>
          <w:szCs w:val="30"/>
          <w:highlight w:val="none"/>
          <w:lang w:eastAsia="zh-CN"/>
        </w:rPr>
        <w:t>第三节 其他底线红线</w:t>
      </w:r>
    </w:p>
    <w:p w14:paraId="6AF39999">
      <w:pPr>
        <w:pStyle w:val="11"/>
        <w:spacing w:line="360" w:lineRule="auto"/>
        <w:ind w:left="110" w:leftChars="50" w:right="110" w:rightChars="50" w:firstLine="560" w:firstLineChars="200"/>
        <w:jc w:val="both"/>
        <w:rPr>
          <w:color w:val="auto"/>
          <w:highlight w:val="none"/>
          <w:lang w:eastAsia="zh-CN"/>
        </w:rPr>
      </w:pPr>
      <w:r>
        <w:rPr>
          <w:rFonts w:hint="eastAsia" w:ascii="微软雅黑" w:hAnsi="微软雅黑" w:eastAsia="微软雅黑"/>
          <w:b/>
          <w:color w:val="auto"/>
          <w:highlight w:val="none"/>
          <w:lang w:eastAsia="zh-CN"/>
        </w:rPr>
        <w:t>第十</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条</w:t>
      </w:r>
      <w:r>
        <w:rPr>
          <w:rFonts w:hint="eastAsia"/>
          <w:b/>
          <w:color w:val="auto"/>
          <w:highlight w:val="none"/>
          <w:lang w:eastAsia="zh-CN"/>
        </w:rPr>
        <w:t xml:space="preserve"> </w:t>
      </w:r>
      <w:r>
        <w:rPr>
          <w:rFonts w:hint="eastAsia"/>
          <w:color w:val="auto"/>
          <w:highlight w:val="none"/>
          <w:lang w:eastAsia="zh-CN"/>
        </w:rPr>
        <w:t>河湖管理范围的管控要严格控制河流管理范围内各类水域、岸线等利用行为。主要涉及柳江、</w:t>
      </w:r>
      <w:r>
        <w:rPr>
          <w:rFonts w:hint="eastAsia"/>
          <w:color w:val="auto"/>
          <w:highlight w:val="none"/>
          <w:lang w:val="en-US" w:eastAsia="zh-CN"/>
        </w:rPr>
        <w:t>龙江、凤山河、流山河、新圩河、竹鹅溪</w:t>
      </w:r>
      <w:r>
        <w:rPr>
          <w:rFonts w:hint="eastAsia"/>
          <w:color w:val="auto"/>
          <w:highlight w:val="none"/>
          <w:lang w:eastAsia="zh-CN"/>
        </w:rPr>
        <w:t>、</w:t>
      </w:r>
      <w:r>
        <w:rPr>
          <w:rFonts w:hint="eastAsia"/>
          <w:color w:val="auto"/>
          <w:highlight w:val="none"/>
          <w:lang w:val="en-US" w:eastAsia="zh-CN"/>
        </w:rPr>
        <w:t>大桥河</w:t>
      </w:r>
      <w:r>
        <w:rPr>
          <w:rFonts w:hint="eastAsia"/>
          <w:color w:val="auto"/>
          <w:highlight w:val="none"/>
          <w:lang w:eastAsia="zh-CN"/>
        </w:rPr>
        <w:t>等河流。河湖管理范围线内的管控规则应依据国家及广西壮族自治区有关规定执行</w:t>
      </w:r>
      <w:r>
        <w:rPr>
          <w:color w:val="auto"/>
          <w:spacing w:val="-3"/>
          <w:highlight w:val="none"/>
          <w:lang w:eastAsia="zh-CN"/>
        </w:rPr>
        <w:t>。</w:t>
      </w:r>
    </w:p>
    <w:p w14:paraId="33174B47">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第十</w:t>
      </w:r>
      <w:r>
        <w:rPr>
          <w:rFonts w:hint="eastAsia" w:ascii="微软雅黑" w:hAnsi="微软雅黑" w:eastAsia="微软雅黑"/>
          <w:b/>
          <w:color w:val="auto"/>
          <w:highlight w:val="none"/>
          <w:lang w:val="en-US" w:eastAsia="zh-CN"/>
        </w:rPr>
        <w:t>三</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历史文化保护线核心保护范围内，除必要的市政公用设施和公共服务设施外，禁止新建、扩建活动；建设控制地带内，新建、扩建、改建、重建、修缮和装饰装修建（构）筑物的高度、体量、风格、色彩等要与核心保护范围的传统风貌相协调。当历史文化保护线中不同类别保护对象的保护范围出现重叠时，应按其中较为严格的控制要求执行，其他管控规则还应依据国家及广西壮族自治区有关规定执行</w:t>
      </w:r>
      <w:r>
        <w:rPr>
          <w:color w:val="auto"/>
          <w:spacing w:val="-1"/>
          <w:highlight w:val="none"/>
          <w:lang w:eastAsia="zh-CN"/>
        </w:rPr>
        <w:t>。</w:t>
      </w:r>
    </w:p>
    <w:p w14:paraId="1E586869">
      <w:pPr>
        <w:pStyle w:val="11"/>
        <w:tabs>
          <w:tab w:val="left" w:pos="2200"/>
        </w:tabs>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第十</w:t>
      </w:r>
      <w:r>
        <w:rPr>
          <w:rFonts w:hint="eastAsia" w:ascii="微软雅黑" w:hAnsi="微软雅黑" w:eastAsia="微软雅黑"/>
          <w:b/>
          <w:color w:val="auto"/>
          <w:highlight w:val="none"/>
          <w:lang w:val="en-US" w:eastAsia="zh-CN"/>
        </w:rPr>
        <w:t>四</w:t>
      </w:r>
      <w:r>
        <w:rPr>
          <w:rFonts w:hint="eastAsia" w:ascii="微软雅黑" w:hAnsi="微软雅黑" w:eastAsia="微软雅黑"/>
          <w:b/>
          <w:color w:val="auto"/>
          <w:highlight w:val="none"/>
          <w:lang w:eastAsia="zh-CN"/>
        </w:rPr>
        <w:t>条</w:t>
      </w:r>
      <w:r>
        <w:rPr>
          <w:rFonts w:hint="eastAsia"/>
          <w:b/>
          <w:color w:val="auto"/>
          <w:spacing w:val="-3"/>
          <w:highlight w:val="none"/>
          <w:lang w:eastAsia="zh-CN"/>
        </w:rPr>
        <w:t xml:space="preserve"> </w:t>
      </w:r>
      <w:r>
        <w:rPr>
          <w:rFonts w:hint="eastAsia"/>
          <w:color w:val="auto"/>
          <w:highlight w:val="none"/>
          <w:lang w:eastAsia="zh-CN"/>
        </w:rPr>
        <w:t>加强洪涝风险控制线的管理，村庄防洪标准按10</w:t>
      </w:r>
      <w:r>
        <w:rPr>
          <w:rFonts w:hint="eastAsia"/>
          <w:color w:val="auto"/>
          <w:highlight w:val="none"/>
          <w:lang w:val="en-US" w:eastAsia="zh-CN"/>
        </w:rPr>
        <w:t>-20</w:t>
      </w:r>
      <w:r>
        <w:rPr>
          <w:rFonts w:hint="eastAsia"/>
          <w:color w:val="auto"/>
          <w:highlight w:val="none"/>
          <w:lang w:eastAsia="zh-CN"/>
        </w:rPr>
        <w:t>年一遇洪水设防标准，乡村建设原则上不能占用洪涝风险控制线内江河、湖泊、水库、山塘、蓄滞洪空间和排涝通道等，禁止新建、改建、扩建与防洪（潮）排涝和行洪安全无关的建构筑物，其他管控规则还应依据国家及广西壮族自治区有关规定执行</w:t>
      </w:r>
      <w:r>
        <w:rPr>
          <w:color w:val="auto"/>
          <w:spacing w:val="-2"/>
          <w:highlight w:val="none"/>
          <w:lang w:eastAsia="zh-CN"/>
        </w:rPr>
        <w:t>。</w:t>
      </w:r>
    </w:p>
    <w:p w14:paraId="40AA584A">
      <w:pPr>
        <w:pStyle w:val="11"/>
        <w:tabs>
          <w:tab w:val="left" w:pos="2200"/>
        </w:tabs>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第十</w:t>
      </w:r>
      <w:r>
        <w:rPr>
          <w:rFonts w:hint="eastAsia" w:ascii="微软雅黑" w:hAnsi="微软雅黑" w:eastAsia="微软雅黑"/>
          <w:b/>
          <w:color w:val="auto"/>
          <w:highlight w:val="none"/>
          <w:lang w:val="en-US" w:eastAsia="zh-CN"/>
        </w:rPr>
        <w:t>五</w:t>
      </w:r>
      <w:r>
        <w:rPr>
          <w:rFonts w:hint="eastAsia" w:ascii="微软雅黑" w:hAnsi="微软雅黑" w:eastAsia="微软雅黑"/>
          <w:b/>
          <w:color w:val="auto"/>
          <w:highlight w:val="none"/>
          <w:lang w:eastAsia="zh-CN"/>
        </w:rPr>
        <w:t>条</w:t>
      </w:r>
      <w:r>
        <w:rPr>
          <w:rFonts w:hint="eastAsia"/>
          <w:b/>
          <w:color w:val="auto"/>
          <w:spacing w:val="-3"/>
          <w:highlight w:val="none"/>
          <w:lang w:eastAsia="zh-CN"/>
        </w:rPr>
        <w:t xml:space="preserve"> </w:t>
      </w:r>
      <w:r>
        <w:rPr>
          <w:rFonts w:hint="eastAsia"/>
          <w:color w:val="auto"/>
          <w:highlight w:val="none"/>
          <w:lang w:val="en-US" w:eastAsia="zh-CN"/>
        </w:rPr>
        <w:t>根据《柳南</w:t>
      </w:r>
      <w:r>
        <w:rPr>
          <w:rFonts w:hint="eastAsia"/>
          <w:color w:val="auto"/>
          <w:highlight w:val="none"/>
          <w:lang w:eastAsia="zh-CN"/>
        </w:rPr>
        <w:t>区2025年地质灾害防治方案</w:t>
      </w:r>
      <w:r>
        <w:rPr>
          <w:rFonts w:hint="eastAsia"/>
          <w:color w:val="auto"/>
          <w:highlight w:val="none"/>
          <w:lang w:val="en-US" w:eastAsia="zh-CN"/>
        </w:rPr>
        <w:t>》全区地质灾害</w:t>
      </w:r>
      <w:r>
        <w:rPr>
          <w:rFonts w:hint="eastAsia"/>
          <w:color w:val="auto"/>
          <w:highlight w:val="none"/>
          <w:lang w:eastAsia="zh-CN"/>
        </w:rPr>
        <w:t>主要集中分布在太阳村镇、洛满镇、流山镇，灾害种类以崩塌、地面塌陷为主。重点防治区</w:t>
      </w:r>
      <w:r>
        <w:rPr>
          <w:rFonts w:hint="eastAsia"/>
          <w:color w:val="auto"/>
          <w:highlight w:val="none"/>
          <w:lang w:val="en-US" w:eastAsia="zh-CN"/>
        </w:rPr>
        <w:t>包括</w:t>
      </w:r>
      <w:r>
        <w:rPr>
          <w:rFonts w:hint="eastAsia"/>
          <w:color w:val="auto"/>
          <w:highlight w:val="none"/>
          <w:lang w:eastAsia="zh-CN"/>
        </w:rPr>
        <w:t>碎屑岩或花岗岩地区应着重防范切坡建房、修路等引发的滑坡、崩塌地质灾害；高陡斜（边)坡、山脚山边、临崖建房等碳酸盐岩分布地区应着重防范危岩崩塌地质灾害；岩溶发育区域应着重防范建筑施工、抽取地下水引发的岩溶地面塌陷地质灾害。柳南区内航银路银仔山一线、太阳村镇四合村一带、洛满镇和流山镇为重点防治区域。</w:t>
      </w:r>
      <w:r>
        <w:rPr>
          <w:rFonts w:hint="eastAsia"/>
          <w:color w:val="auto"/>
          <w:highlight w:val="none"/>
          <w:lang w:val="en-US" w:eastAsia="zh-CN"/>
        </w:rPr>
        <w:t>具体</w:t>
      </w:r>
      <w:r>
        <w:rPr>
          <w:rFonts w:hint="eastAsia"/>
          <w:color w:val="auto"/>
          <w:highlight w:val="none"/>
          <w:lang w:eastAsia="zh-CN"/>
        </w:rPr>
        <w:t>管控规则应依据国家及广西壮族自治区有关规定执行</w:t>
      </w:r>
      <w:r>
        <w:rPr>
          <w:color w:val="auto"/>
          <w:spacing w:val="-5"/>
          <w:highlight w:val="none"/>
          <w:lang w:eastAsia="zh-CN"/>
        </w:rPr>
        <w:t>。</w:t>
      </w:r>
    </w:p>
    <w:p w14:paraId="6209E80C">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条</w:t>
      </w:r>
      <w:r>
        <w:rPr>
          <w:rFonts w:hint="eastAsia"/>
          <w:color w:val="auto"/>
          <w:highlight w:val="none"/>
          <w:lang w:eastAsia="zh-CN"/>
        </w:rPr>
        <w:t>乡村地区供水规模超过一千人的应当划定饮用水水源保护区，供水规模在一千人以下的水源地按照《分散式饮用水水源地环境保护指南（试行）》的要求划定饮用水水源保护范围，其中农村一千人以下五百人以上集中式供水的饮用水水源，由区级人民政府确定保护范围；五百人以下集中式供水的饮用水水源，由乡镇人民政府征求所在地村民委员会或者村民小组意见后确定保护范围。各级饮用水水源保护区管控规则应依据国家及广西壮族自治区有关规定执行</w:t>
      </w:r>
      <w:r>
        <w:rPr>
          <w:color w:val="auto"/>
          <w:spacing w:val="-10"/>
          <w:highlight w:val="none"/>
          <w:lang w:eastAsia="zh-CN"/>
        </w:rPr>
        <w:t>。</w:t>
      </w:r>
    </w:p>
    <w:p w14:paraId="7EFA221C">
      <w:pPr>
        <w:pStyle w:val="11"/>
        <w:tabs>
          <w:tab w:val="left" w:pos="2200"/>
        </w:tabs>
        <w:spacing w:line="360" w:lineRule="auto"/>
        <w:ind w:left="110" w:leftChars="50" w:right="110" w:rightChars="50" w:firstLine="560" w:firstLineChars="200"/>
        <w:rPr>
          <w:color w:val="auto"/>
          <w:highlight w:val="none"/>
          <w:lang w:eastAsia="zh-CN"/>
        </w:rPr>
      </w:pPr>
      <w:r>
        <w:rPr>
          <w:rFonts w:hint="eastAsia" w:ascii="微软雅黑" w:hAnsi="微软雅黑" w:eastAsia="微软雅黑"/>
          <w:b/>
          <w:color w:val="auto"/>
          <w:highlight w:val="none"/>
          <w:lang w:eastAsia="zh-CN"/>
        </w:rPr>
        <w:t>第十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土壤污染风险管控区、水域水系保护线等其他底线的管控规则应依据国家及广西壮族自治区有关规定执行</w:t>
      </w:r>
      <w:r>
        <w:rPr>
          <w:color w:val="auto"/>
          <w:highlight w:val="none"/>
          <w:lang w:eastAsia="zh-CN"/>
        </w:rPr>
        <w:t>。</w:t>
      </w:r>
    </w:p>
    <w:p w14:paraId="5CFB7D63">
      <w:pPr>
        <w:pStyle w:val="3"/>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2"/>
          <w:szCs w:val="32"/>
          <w:highlight w:val="none"/>
          <w:lang w:eastAsia="zh-CN"/>
        </w:rPr>
      </w:pPr>
      <w:bookmarkStart w:id="18" w:name="_bookmark9"/>
      <w:bookmarkEnd w:id="18"/>
      <w:bookmarkStart w:id="19" w:name="_Toc26206"/>
      <w:r>
        <w:rPr>
          <w:rFonts w:ascii="微软雅黑" w:hAnsi="微软雅黑" w:eastAsia="微软雅黑" w:cs="微软雅黑"/>
          <w:b/>
          <w:bCs/>
          <w:color w:val="auto"/>
          <w:sz w:val="32"/>
          <w:szCs w:val="32"/>
          <w:highlight w:val="none"/>
          <w:lang w:eastAsia="zh-CN"/>
        </w:rPr>
        <w:t>第四章 用地布局</w:t>
      </w:r>
      <w:bookmarkEnd w:id="19"/>
    </w:p>
    <w:p w14:paraId="37062A7D">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0" w:name="_bookmark10"/>
      <w:bookmarkEnd w:id="20"/>
      <w:r>
        <w:rPr>
          <w:rFonts w:ascii="微软雅黑" w:hAnsi="微软雅黑" w:eastAsia="微软雅黑" w:cs="微软雅黑"/>
          <w:b/>
          <w:bCs/>
          <w:color w:val="auto"/>
          <w:sz w:val="30"/>
          <w:szCs w:val="30"/>
          <w:highlight w:val="none"/>
          <w:lang w:eastAsia="zh-CN"/>
        </w:rPr>
        <w:t>第一节 村庄建设用地布局通用要求</w:t>
      </w:r>
    </w:p>
    <w:p w14:paraId="0298C9FE">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第十</w:t>
      </w:r>
      <w:r>
        <w:rPr>
          <w:rFonts w:hint="eastAsia" w:ascii="微软雅黑" w:hAnsi="微软雅黑" w:eastAsia="微软雅黑"/>
          <w:b/>
          <w:color w:val="auto"/>
          <w:sz w:val="28"/>
          <w:szCs w:val="28"/>
          <w:highlight w:val="none"/>
          <w:lang w:val="en-US" w:eastAsia="zh-CN"/>
        </w:rPr>
        <w:t>八</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村庄建设用地选址应遵循如下原则：</w:t>
      </w:r>
    </w:p>
    <w:p w14:paraId="50D0977A">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节约集约利用土地，村庄建设宜集中布局，优先在村庄建设边界内选址各类用地，不占或少占耕地</w:t>
      </w:r>
      <w:r>
        <w:rPr>
          <w:color w:val="auto"/>
          <w:highlight w:val="none"/>
          <w:lang w:eastAsia="zh-CN"/>
        </w:rPr>
        <w:t>。</w:t>
      </w:r>
    </w:p>
    <w:p w14:paraId="6D5012F6">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w:t>
      </w:r>
      <w:r>
        <w:rPr>
          <w:rFonts w:hint="eastAsia"/>
          <w:color w:val="auto"/>
          <w:highlight w:val="none"/>
          <w:lang w:eastAsia="zh-CN"/>
        </w:rPr>
        <w:t>应与旧宅改造、土地整理、村庄建设用地复垦相结合，充分利用原有闲置宅基地、村内空闲地、村周边的丘陵坡地或其他未利用地</w:t>
      </w:r>
      <w:r>
        <w:rPr>
          <w:color w:val="auto"/>
          <w:highlight w:val="none"/>
          <w:lang w:eastAsia="zh-CN"/>
        </w:rPr>
        <w:t>。</w:t>
      </w:r>
    </w:p>
    <w:p w14:paraId="33F459EF">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（三）应当选址在地质条件较好、环境适宜、交通方便的地段。</w:t>
      </w:r>
    </w:p>
    <w:p w14:paraId="402AF553">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（四）</w:t>
      </w:r>
      <w:r>
        <w:rPr>
          <w:rFonts w:hint="eastAsia"/>
          <w:color w:val="auto"/>
          <w:highlight w:val="none"/>
          <w:lang w:eastAsia="zh-CN"/>
        </w:rPr>
        <w:t>选址布局应满足地质灾害及防洪排涝等防灾减灾、环保邻避、环境适宜、历史文化保护等要求</w:t>
      </w:r>
      <w:r>
        <w:rPr>
          <w:color w:val="auto"/>
          <w:highlight w:val="none"/>
          <w:lang w:eastAsia="zh-CN"/>
        </w:rPr>
        <w:t>。</w:t>
      </w:r>
    </w:p>
    <w:p w14:paraId="4B124047">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（五）</w:t>
      </w:r>
      <w:r>
        <w:rPr>
          <w:rFonts w:hint="eastAsia"/>
          <w:color w:val="auto"/>
          <w:highlight w:val="none"/>
          <w:lang w:eastAsia="zh-CN"/>
        </w:rPr>
        <w:t>还应符合柳州市柳南区国土空间总体规划和相关专项规划的要求</w:t>
      </w:r>
      <w:r>
        <w:rPr>
          <w:color w:val="auto"/>
          <w:highlight w:val="none"/>
          <w:lang w:eastAsia="zh-CN"/>
        </w:rPr>
        <w:t>。</w:t>
      </w:r>
    </w:p>
    <w:p w14:paraId="1638B671">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第十</w:t>
      </w:r>
      <w:r>
        <w:rPr>
          <w:rFonts w:hint="eastAsia" w:ascii="微软雅黑" w:hAnsi="微软雅黑" w:eastAsia="微软雅黑"/>
          <w:b/>
          <w:color w:val="auto"/>
          <w:sz w:val="28"/>
          <w:szCs w:val="28"/>
          <w:highlight w:val="none"/>
          <w:lang w:val="en-US" w:eastAsia="zh-CN"/>
        </w:rPr>
        <w:t>九</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村庄建设用地选址禁止地段如下：</w:t>
      </w:r>
    </w:p>
    <w:p w14:paraId="18BBCDF1">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永久基本农田保护红线、生态保护红线、城镇开发边界、洪涝风险控制线等底线管控区域</w:t>
      </w:r>
      <w:r>
        <w:rPr>
          <w:color w:val="auto"/>
          <w:highlight w:val="none"/>
          <w:lang w:eastAsia="zh-CN"/>
        </w:rPr>
        <w:t>。</w:t>
      </w:r>
    </w:p>
    <w:p w14:paraId="77D85590">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（二）河道管理范围和水库、</w:t>
      </w:r>
      <w:r>
        <w:rPr>
          <w:rFonts w:hint="eastAsia"/>
          <w:color w:val="auto"/>
          <w:highlight w:val="none"/>
          <w:lang w:val="en-US" w:eastAsia="zh-CN"/>
        </w:rPr>
        <w:t>堤防、</w:t>
      </w:r>
      <w:r>
        <w:rPr>
          <w:color w:val="auto"/>
          <w:highlight w:val="none"/>
          <w:lang w:eastAsia="zh-CN"/>
        </w:rPr>
        <w:t>渠道的控制区范围内。</w:t>
      </w:r>
    </w:p>
    <w:p w14:paraId="41576C4D">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rFonts w:hint="eastAsia"/>
          <w:color w:val="auto"/>
          <w:highlight w:val="none"/>
          <w:lang w:eastAsia="zh-CN"/>
        </w:rPr>
        <w:t>未通过工程措施且未达到安全防护要求的山体滑坡、泥石流、危岩、塌陷等地质灾害易发区或次生灾害隐患易发地段以及洪涝灾害等危险地段</w:t>
      </w:r>
      <w:r>
        <w:rPr>
          <w:color w:val="auto"/>
          <w:highlight w:val="none"/>
          <w:lang w:eastAsia="zh-CN"/>
        </w:rPr>
        <w:t>。</w:t>
      </w:r>
    </w:p>
    <w:p w14:paraId="51E28A88">
      <w:pPr>
        <w:pStyle w:val="11"/>
        <w:spacing w:line="360" w:lineRule="auto"/>
        <w:ind w:left="110" w:leftChars="50" w:right="110" w:rightChars="50" w:firstLine="560" w:firstLineChars="200"/>
        <w:rPr>
          <w:rFonts w:hint="eastAsia"/>
          <w:color w:val="auto"/>
          <w:spacing w:val="-7"/>
          <w:highlight w:val="none"/>
          <w:lang w:eastAsia="zh-CN"/>
        </w:rPr>
      </w:pPr>
      <w:r>
        <w:rPr>
          <w:color w:val="auto"/>
          <w:highlight w:val="none"/>
          <w:lang w:eastAsia="zh-CN"/>
        </w:rPr>
        <w:t>（四</w:t>
      </w:r>
      <w:r>
        <w:rPr>
          <w:color w:val="auto"/>
          <w:spacing w:val="-15"/>
          <w:highlight w:val="none"/>
          <w:lang w:eastAsia="zh-CN"/>
        </w:rPr>
        <w:t>）</w:t>
      </w:r>
      <w:r>
        <w:rPr>
          <w:rFonts w:hint="eastAsia"/>
          <w:color w:val="auto"/>
          <w:spacing w:val="-7"/>
          <w:highlight w:val="none"/>
          <w:lang w:eastAsia="zh-CN"/>
        </w:rPr>
        <w:t>区域输油、输气管道上、高压供电走廊以及危险化学品生产企业、危险化学品储存仓库或危房旁边等危险地段。（村庄建设用地负面清单详见附表三）</w:t>
      </w:r>
    </w:p>
    <w:p w14:paraId="7AE964F6">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1" w:name="_bookmark11"/>
      <w:bookmarkEnd w:id="21"/>
      <w:r>
        <w:rPr>
          <w:rFonts w:ascii="微软雅黑" w:hAnsi="微软雅黑" w:eastAsia="微软雅黑" w:cs="微软雅黑"/>
          <w:b/>
          <w:bCs/>
          <w:color w:val="auto"/>
          <w:sz w:val="30"/>
          <w:szCs w:val="30"/>
          <w:highlight w:val="none"/>
          <w:lang w:eastAsia="zh-CN"/>
        </w:rPr>
        <w:t>第二节 村民住房布局</w:t>
      </w:r>
    </w:p>
    <w:p w14:paraId="1FD7F44B">
      <w:pPr>
        <w:pStyle w:val="11"/>
        <w:spacing w:line="360" w:lineRule="auto"/>
        <w:ind w:left="110" w:leftChars="50" w:right="110" w:rightChars="50" w:firstLine="560" w:firstLineChars="200"/>
        <w:rPr>
          <w:rFonts w:hint="eastAsia"/>
          <w:color w:val="auto"/>
          <w:spacing w:val="-21"/>
          <w:highlight w:val="none"/>
          <w:lang w:eastAsia="zh-CN"/>
        </w:rPr>
      </w:pPr>
      <w:r>
        <w:rPr>
          <w:rFonts w:hint="eastAsia" w:ascii="微软雅黑" w:hAnsi="微软雅黑" w:eastAsia="微软雅黑"/>
          <w:b/>
          <w:color w:val="auto"/>
          <w:highlight w:val="none"/>
          <w:lang w:eastAsia="zh-CN"/>
        </w:rPr>
        <w:t xml:space="preserve">第二十条 </w:t>
      </w:r>
      <w:r>
        <w:rPr>
          <w:rFonts w:hint="eastAsia"/>
          <w:color w:val="auto"/>
          <w:spacing w:val="-21"/>
          <w:highlight w:val="none"/>
          <w:lang w:eastAsia="zh-CN"/>
        </w:rPr>
        <w:t>除通用选址要求外，村民住宅选址还应当符合以下规定：</w:t>
      </w:r>
    </w:p>
    <w:p w14:paraId="2326087E">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（一）新建村民住房应相对集中、就近选址，有利于生产和生活。</w:t>
      </w:r>
    </w:p>
    <w:p w14:paraId="33C3C12E">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二）靠近生产区或废弃物处理设施的村民住房生活区宜集中布置在全年主导风向的上风或侧风方向，并应在村民住房生活区和生产区或废弃物处理设施之间设置符合国家现行标准《村镇规划卫生规范》（GB18055）规定的卫生防护距离，可在其中设置防护林隔离带。</w:t>
      </w:r>
    </w:p>
    <w:p w14:paraId="147A00E0">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三）农村村民申请宅基地的，应当以户为单位向所在村民小组或者村民委员会提出申请。村民小组或村民委员会初审并公示后报送乡镇政府，由乡镇政府审核批准，并出具《农村宅基地批准书》和发放乡村建设规划许可证。</w:t>
      </w:r>
    </w:p>
    <w:p w14:paraId="069C4B69">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村民住宅申请材料应包含申请理由、拟用地位置和面积、拟建房层高和面积、用地建房相邻权益人的意见等情况；村民小组或村民委员会收到申请后应在5个工作日内组织会议讨论，初审通过后，在本小组或本村范围内公示10日，审查通过的在《农村宅基地和建房（规划许可）申请表》中签署意见并盖章。</w:t>
      </w:r>
    </w:p>
    <w:p w14:paraId="2BB3AE03">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（四）其他符合上位及相关规划针对村民住房选址的管控要求。</w:t>
      </w:r>
    </w:p>
    <w:p w14:paraId="6FCF2ADF">
      <w:pPr>
        <w:pStyle w:val="11"/>
        <w:spacing w:line="360" w:lineRule="auto"/>
        <w:ind w:left="110" w:leftChars="50" w:right="110" w:rightChars="50" w:firstLine="560" w:firstLineChars="200"/>
        <w:rPr>
          <w:rFonts w:ascii="微软雅黑" w:hAnsi="微软雅黑" w:eastAsia="微软雅黑"/>
          <w:b/>
          <w:color w:val="auto"/>
          <w:highlight w:val="none"/>
          <w:lang w:eastAsia="zh-CN"/>
        </w:rPr>
      </w:pPr>
      <w:r>
        <w:rPr>
          <w:rFonts w:hint="eastAsia" w:ascii="微软雅黑" w:hAnsi="微软雅黑" w:eastAsia="微软雅黑"/>
          <w:b/>
          <w:color w:val="auto"/>
          <w:highlight w:val="none"/>
          <w:lang w:eastAsia="zh-CN"/>
        </w:rPr>
        <w:t>第二十</w:t>
      </w:r>
      <w:r>
        <w:rPr>
          <w:rFonts w:hint="eastAsia" w:ascii="微软雅黑" w:hAnsi="微软雅黑" w:eastAsia="微软雅黑"/>
          <w:b/>
          <w:color w:val="auto"/>
          <w:highlight w:val="none"/>
          <w:lang w:val="en-US" w:eastAsia="zh-CN"/>
        </w:rPr>
        <w:t>一</w:t>
      </w:r>
      <w:r>
        <w:rPr>
          <w:rFonts w:hint="eastAsia" w:ascii="微软雅黑" w:hAnsi="微软雅黑" w:eastAsia="微软雅黑"/>
          <w:b/>
          <w:color w:val="auto"/>
          <w:highlight w:val="none"/>
          <w:lang w:eastAsia="zh-CN"/>
        </w:rPr>
        <w:t>条 村民住宅布局要求：</w:t>
      </w:r>
    </w:p>
    <w:p w14:paraId="0DA13B55">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（一）地形适应性布局：住房选址应充分考虑地形条件，避免在山地陡峭、易发生地质灾害的区域建设。平原和台地地区可适当集中布局，利用地形优势进行合理规划。</w:t>
      </w:r>
    </w:p>
    <w:p w14:paraId="7FC1B62D">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（二）集中与分散相结合：根据村庄分布特点，中部地区鼓励适度集中建设，提高土地利用率，形成规模效应；南北部地区则根据地形和交通条件，采取灵活分散的布局方式，保持与自然环境的和谐共生。</w:t>
      </w:r>
    </w:p>
    <w:p w14:paraId="0C24C7E6">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（三）尊重历史与现状：对于城中村等已形成一定规模和功能的区域，住房选址应尊重历史发展轨迹和现状布局，通过改造提升而非大规模拆建来改善居住条件。</w:t>
      </w:r>
    </w:p>
    <w:p w14:paraId="7A157AAC">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2" w:name="_bookmark12"/>
      <w:bookmarkEnd w:id="22"/>
      <w:r>
        <w:rPr>
          <w:rFonts w:ascii="微软雅黑" w:hAnsi="微软雅黑" w:eastAsia="微软雅黑" w:cs="微软雅黑"/>
          <w:b/>
          <w:bCs/>
          <w:color w:val="auto"/>
          <w:sz w:val="30"/>
          <w:szCs w:val="30"/>
          <w:highlight w:val="none"/>
          <w:lang w:eastAsia="zh-CN"/>
        </w:rPr>
        <w:t>第三节 乡村公共服务设施用地布局</w:t>
      </w:r>
    </w:p>
    <w:p w14:paraId="25101A90">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第二十</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综合考虑多数乡村居民的出行意愿、出行方式以及现状公共服务设施的建设状况，按照村委所在自然村和非村委所在自然村两个层级合理配置公共服务设施，并根据服务功能进行布局，配置标准宜参照下表执行</w:t>
      </w:r>
      <w:r>
        <w:rPr>
          <w:color w:val="auto"/>
          <w:highlight w:val="none"/>
          <w:lang w:eastAsia="zh-CN"/>
        </w:rPr>
        <w:t>。</w:t>
      </w:r>
    </w:p>
    <w:p w14:paraId="75D7C660">
      <w:pPr>
        <w:spacing w:line="360" w:lineRule="auto"/>
        <w:ind w:left="110" w:leftChars="50" w:right="110" w:rightChars="50" w:firstLine="560" w:firstLineChars="200"/>
        <w:jc w:val="center"/>
        <w:rPr>
          <w:rFonts w:hint="eastAsia"/>
          <w:color w:val="auto"/>
          <w:sz w:val="28"/>
          <w:szCs w:val="28"/>
          <w:highlight w:val="none"/>
          <w:lang w:eastAsia="zh-CN"/>
        </w:rPr>
      </w:pPr>
      <w:r>
        <w:rPr>
          <w:rFonts w:hint="eastAsia"/>
          <w:color w:val="auto"/>
          <w:sz w:val="28"/>
          <w:szCs w:val="28"/>
          <w:highlight w:val="none"/>
          <w:lang w:eastAsia="zh-CN"/>
        </w:rPr>
        <w:t xml:space="preserve">表 </w:t>
      </w:r>
      <w:r>
        <w:rPr>
          <w:color w:val="auto"/>
          <w:sz w:val="28"/>
          <w:szCs w:val="28"/>
          <w:highlight w:val="none"/>
          <w:lang w:eastAsia="zh-CN"/>
        </w:rPr>
        <w:t xml:space="preserve">4-1  </w:t>
      </w:r>
      <w:r>
        <w:rPr>
          <w:rFonts w:hint="eastAsia"/>
          <w:color w:val="auto"/>
          <w:sz w:val="28"/>
          <w:szCs w:val="28"/>
          <w:highlight w:val="none"/>
          <w:lang w:eastAsia="zh-CN"/>
        </w:rPr>
        <w:t>乡村公共服务设施配置表</w:t>
      </w: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3"/>
        <w:gridCol w:w="1771"/>
        <w:gridCol w:w="1013"/>
        <w:gridCol w:w="1000"/>
        <w:gridCol w:w="3906"/>
        <w:gridCol w:w="1350"/>
      </w:tblGrid>
      <w:tr w14:paraId="7A4A4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693" w:type="dxa"/>
            <w:vMerge w:val="restart"/>
          </w:tcPr>
          <w:p w14:paraId="71E23653">
            <w:pPr>
              <w:pStyle w:val="44"/>
              <w:ind w:left="110" w:leftChars="50" w:right="110" w:rightChars="50"/>
              <w:rPr>
                <w:rFonts w:hint="eastAsia"/>
                <w:color w:val="auto"/>
                <w:highlight w:val="none"/>
                <w:lang w:eastAsia="zh-CN"/>
              </w:rPr>
            </w:pPr>
          </w:p>
          <w:p w14:paraId="0E4B0C43">
            <w:pPr>
              <w:pStyle w:val="44"/>
              <w:ind w:left="110" w:leftChars="50" w:right="110" w:rightChars="50"/>
              <w:rPr>
                <w:rFonts w:hint="eastAsia"/>
                <w:color w:val="auto"/>
                <w:highlight w:val="none"/>
              </w:rPr>
            </w:pPr>
            <w:r>
              <w:rPr>
                <w:color w:val="auto"/>
                <w:highlight w:val="none"/>
              </w:rPr>
              <w:t>分类</w:t>
            </w:r>
          </w:p>
        </w:tc>
        <w:tc>
          <w:tcPr>
            <w:tcW w:w="1771" w:type="dxa"/>
            <w:vMerge w:val="restart"/>
          </w:tcPr>
          <w:p w14:paraId="70220E6D">
            <w:pPr>
              <w:pStyle w:val="44"/>
              <w:ind w:left="110" w:leftChars="50" w:right="110" w:rightChars="50"/>
              <w:rPr>
                <w:rFonts w:hint="eastAsia"/>
                <w:color w:val="auto"/>
                <w:highlight w:val="none"/>
              </w:rPr>
            </w:pPr>
          </w:p>
          <w:p w14:paraId="65904C41">
            <w:pPr>
              <w:pStyle w:val="44"/>
              <w:ind w:left="110" w:leftChars="50" w:right="110" w:rightChars="50"/>
              <w:rPr>
                <w:rFonts w:hint="eastAsia"/>
                <w:color w:val="auto"/>
                <w:highlight w:val="none"/>
              </w:rPr>
            </w:pPr>
            <w:r>
              <w:rPr>
                <w:color w:val="auto"/>
                <w:highlight w:val="none"/>
              </w:rPr>
              <w:t>设施名称</w:t>
            </w:r>
          </w:p>
        </w:tc>
        <w:tc>
          <w:tcPr>
            <w:tcW w:w="2013" w:type="dxa"/>
            <w:gridSpan w:val="2"/>
          </w:tcPr>
          <w:p w14:paraId="6BCA3FBD">
            <w:pPr>
              <w:pStyle w:val="44"/>
              <w:ind w:left="110" w:leftChars="50" w:right="110" w:rightChars="50"/>
              <w:rPr>
                <w:rFonts w:hint="eastAsia"/>
                <w:color w:val="auto"/>
                <w:highlight w:val="none"/>
              </w:rPr>
            </w:pPr>
            <w:r>
              <w:rPr>
                <w:color w:val="auto"/>
                <w:highlight w:val="none"/>
              </w:rPr>
              <w:t>圈层划分</w:t>
            </w:r>
          </w:p>
        </w:tc>
        <w:tc>
          <w:tcPr>
            <w:tcW w:w="3906" w:type="dxa"/>
            <w:vMerge w:val="restart"/>
          </w:tcPr>
          <w:p w14:paraId="48FC259A">
            <w:pPr>
              <w:pStyle w:val="44"/>
              <w:ind w:left="110" w:leftChars="50" w:right="110" w:rightChars="50"/>
              <w:rPr>
                <w:rFonts w:hint="eastAsia"/>
                <w:color w:val="auto"/>
                <w:highlight w:val="none"/>
              </w:rPr>
            </w:pPr>
          </w:p>
          <w:p w14:paraId="0C3B6D2D">
            <w:pPr>
              <w:pStyle w:val="44"/>
              <w:ind w:left="110" w:leftChars="50" w:right="110" w:rightChars="50"/>
              <w:rPr>
                <w:rFonts w:hint="eastAsia"/>
                <w:color w:val="auto"/>
                <w:highlight w:val="none"/>
              </w:rPr>
            </w:pPr>
            <w:r>
              <w:rPr>
                <w:color w:val="auto"/>
                <w:highlight w:val="none"/>
              </w:rPr>
              <w:t>配置要求</w:t>
            </w:r>
          </w:p>
        </w:tc>
        <w:tc>
          <w:tcPr>
            <w:tcW w:w="1350" w:type="dxa"/>
            <w:vMerge w:val="restart"/>
          </w:tcPr>
          <w:p w14:paraId="5ED7FDDC">
            <w:pPr>
              <w:pStyle w:val="44"/>
              <w:ind w:left="110" w:leftChars="50" w:right="110" w:rightChars="50"/>
              <w:rPr>
                <w:rFonts w:hint="eastAsia"/>
                <w:color w:val="auto"/>
                <w:highlight w:val="none"/>
              </w:rPr>
            </w:pPr>
          </w:p>
          <w:p w14:paraId="1F32C8B3">
            <w:pPr>
              <w:pStyle w:val="44"/>
              <w:ind w:left="110" w:leftChars="50" w:right="110" w:rightChars="50"/>
              <w:rPr>
                <w:rFonts w:hint="eastAsia"/>
                <w:color w:val="auto"/>
                <w:highlight w:val="none"/>
              </w:rPr>
            </w:pPr>
            <w:r>
              <w:rPr>
                <w:color w:val="auto"/>
                <w:highlight w:val="none"/>
              </w:rPr>
              <w:t>配置指标</w:t>
            </w:r>
          </w:p>
        </w:tc>
      </w:tr>
      <w:tr w14:paraId="6136F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693" w:type="dxa"/>
            <w:vMerge w:val="continue"/>
            <w:tcBorders>
              <w:top w:val="nil"/>
            </w:tcBorders>
          </w:tcPr>
          <w:p w14:paraId="0E3116A5">
            <w:pPr>
              <w:ind w:left="110" w:leftChars="50" w:right="110" w:rightChars="50"/>
              <w:jc w:val="center"/>
              <w:rPr>
                <w:rFonts w:hint="eastAsia"/>
                <w:color w:val="auto"/>
                <w:highlight w:val="none"/>
              </w:rPr>
            </w:pPr>
          </w:p>
        </w:tc>
        <w:tc>
          <w:tcPr>
            <w:tcW w:w="1771" w:type="dxa"/>
            <w:vMerge w:val="continue"/>
            <w:tcBorders>
              <w:top w:val="nil"/>
            </w:tcBorders>
          </w:tcPr>
          <w:p w14:paraId="0C3E7F34">
            <w:pPr>
              <w:ind w:left="110" w:leftChars="50" w:right="110" w:rightChars="50"/>
              <w:jc w:val="center"/>
              <w:rPr>
                <w:rFonts w:hint="eastAsia"/>
                <w:color w:val="auto"/>
                <w:highlight w:val="none"/>
              </w:rPr>
            </w:pPr>
          </w:p>
        </w:tc>
        <w:tc>
          <w:tcPr>
            <w:tcW w:w="1013" w:type="dxa"/>
          </w:tcPr>
          <w:p w14:paraId="54A29766">
            <w:pPr>
              <w:pStyle w:val="44"/>
              <w:ind w:left="110" w:leftChars="50" w:right="110" w:rightChars="50"/>
              <w:rPr>
                <w:rFonts w:hint="eastAsia"/>
                <w:color w:val="auto"/>
                <w:highlight w:val="none"/>
              </w:rPr>
            </w:pPr>
            <w:r>
              <w:rPr>
                <w:color w:val="auto"/>
                <w:highlight w:val="none"/>
              </w:rPr>
              <w:t>村委所在自然村</w:t>
            </w:r>
          </w:p>
        </w:tc>
        <w:tc>
          <w:tcPr>
            <w:tcW w:w="1000" w:type="dxa"/>
          </w:tcPr>
          <w:p w14:paraId="7C971604">
            <w:pPr>
              <w:pStyle w:val="44"/>
              <w:ind w:left="110" w:leftChars="50" w:right="110" w:rightChars="50"/>
              <w:rPr>
                <w:rFonts w:hint="eastAsia"/>
                <w:color w:val="auto"/>
                <w:highlight w:val="none"/>
              </w:rPr>
            </w:pPr>
            <w:r>
              <w:rPr>
                <w:color w:val="auto"/>
                <w:highlight w:val="none"/>
              </w:rPr>
              <w:t>非村委所在自然村</w:t>
            </w:r>
          </w:p>
        </w:tc>
        <w:tc>
          <w:tcPr>
            <w:tcW w:w="3906" w:type="dxa"/>
            <w:vMerge w:val="continue"/>
            <w:tcBorders>
              <w:top w:val="nil"/>
            </w:tcBorders>
          </w:tcPr>
          <w:p w14:paraId="4B34A238">
            <w:pPr>
              <w:ind w:left="110" w:leftChars="50" w:right="110" w:rightChars="50"/>
              <w:jc w:val="center"/>
              <w:rPr>
                <w:rFonts w:hint="eastAsia"/>
                <w:color w:val="auto"/>
                <w:highlight w:val="none"/>
              </w:rPr>
            </w:pPr>
          </w:p>
        </w:tc>
        <w:tc>
          <w:tcPr>
            <w:tcW w:w="1350" w:type="dxa"/>
            <w:vMerge w:val="continue"/>
            <w:tcBorders>
              <w:top w:val="nil"/>
            </w:tcBorders>
          </w:tcPr>
          <w:p w14:paraId="3D402778">
            <w:pPr>
              <w:ind w:left="110" w:leftChars="50" w:right="110" w:rightChars="50"/>
              <w:jc w:val="center"/>
              <w:rPr>
                <w:rFonts w:hint="eastAsia"/>
                <w:color w:val="auto"/>
                <w:highlight w:val="none"/>
              </w:rPr>
            </w:pPr>
          </w:p>
        </w:tc>
      </w:tr>
      <w:tr w14:paraId="0B1FC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93" w:type="dxa"/>
          </w:tcPr>
          <w:p w14:paraId="152F9E79">
            <w:pPr>
              <w:pStyle w:val="44"/>
              <w:ind w:left="110" w:leftChars="50" w:right="110" w:rightChars="50"/>
              <w:rPr>
                <w:rFonts w:hint="eastAsia"/>
                <w:color w:val="auto"/>
                <w:highlight w:val="none"/>
              </w:rPr>
            </w:pPr>
            <w:r>
              <w:rPr>
                <w:color w:val="auto"/>
                <w:highlight w:val="none"/>
              </w:rPr>
              <w:t>行政管理</w:t>
            </w:r>
          </w:p>
        </w:tc>
        <w:tc>
          <w:tcPr>
            <w:tcW w:w="1771" w:type="dxa"/>
          </w:tcPr>
          <w:p w14:paraId="5EDF55E2">
            <w:pPr>
              <w:pStyle w:val="44"/>
              <w:ind w:left="110" w:leftChars="50" w:right="110" w:rightChars="50"/>
              <w:rPr>
                <w:rFonts w:hint="eastAsia"/>
                <w:color w:val="auto"/>
                <w:highlight w:val="none"/>
              </w:rPr>
            </w:pPr>
            <w:r>
              <w:rPr>
                <w:color w:val="auto"/>
                <w:highlight w:val="none"/>
              </w:rPr>
              <w:t>村务室</w:t>
            </w:r>
          </w:p>
        </w:tc>
        <w:tc>
          <w:tcPr>
            <w:tcW w:w="1013" w:type="dxa"/>
          </w:tcPr>
          <w:p w14:paraId="38EE9558">
            <w:pPr>
              <w:pStyle w:val="44"/>
              <w:ind w:left="110" w:leftChars="50" w:right="110" w:rightChars="50"/>
              <w:rPr>
                <w:rFonts w:hint="eastAsia"/>
                <w:color w:val="auto"/>
                <w:highlight w:val="none"/>
              </w:rPr>
            </w:pPr>
            <w:r>
              <w:rPr>
                <w:color w:val="auto"/>
                <w:highlight w:val="none"/>
              </w:rPr>
              <w:t>●</w:t>
            </w:r>
          </w:p>
        </w:tc>
        <w:tc>
          <w:tcPr>
            <w:tcW w:w="1000" w:type="dxa"/>
          </w:tcPr>
          <w:p w14:paraId="33E42D6E">
            <w:pPr>
              <w:pStyle w:val="44"/>
              <w:ind w:left="110" w:leftChars="50" w:right="110" w:rightChars="50"/>
              <w:rPr>
                <w:rFonts w:hint="eastAsia"/>
                <w:color w:val="auto"/>
                <w:highlight w:val="none"/>
              </w:rPr>
            </w:pPr>
            <w:r>
              <w:rPr>
                <w:color w:val="auto"/>
                <w:highlight w:val="none"/>
              </w:rPr>
              <w:t>○</w:t>
            </w:r>
          </w:p>
        </w:tc>
        <w:tc>
          <w:tcPr>
            <w:tcW w:w="3906" w:type="dxa"/>
          </w:tcPr>
          <w:p w14:paraId="53AFB458">
            <w:pPr>
              <w:pStyle w:val="44"/>
              <w:ind w:left="110" w:leftChars="50" w:right="110" w:rightChars="50"/>
              <w:rPr>
                <w:rFonts w:hint="eastAsia"/>
                <w:color w:val="auto"/>
                <w:highlight w:val="none"/>
                <w:lang w:eastAsia="zh-CN"/>
              </w:rPr>
            </w:pPr>
            <w:r>
              <w:rPr>
                <w:color w:val="auto"/>
                <w:spacing w:val="-9"/>
                <w:highlight w:val="none"/>
                <w:lang w:eastAsia="zh-CN"/>
              </w:rPr>
              <w:t>各行政村设</w:t>
            </w:r>
            <w:r>
              <w:rPr>
                <w:color w:val="auto"/>
                <w:highlight w:val="none"/>
                <w:lang w:eastAsia="zh-CN"/>
              </w:rPr>
              <w:t>1</w:t>
            </w:r>
            <w:r>
              <w:rPr>
                <w:color w:val="auto"/>
                <w:spacing w:val="-4"/>
                <w:highlight w:val="none"/>
                <w:lang w:eastAsia="zh-CN"/>
              </w:rPr>
              <w:t>处，村域面积较大或集中</w:t>
            </w:r>
            <w:r>
              <w:rPr>
                <w:color w:val="auto"/>
                <w:spacing w:val="-3"/>
                <w:highlight w:val="none"/>
                <w:lang w:eastAsia="zh-CN"/>
              </w:rPr>
              <w:t>居民点较分散情况下可多点设置</w:t>
            </w:r>
          </w:p>
        </w:tc>
        <w:tc>
          <w:tcPr>
            <w:tcW w:w="1350" w:type="dxa"/>
          </w:tcPr>
          <w:p w14:paraId="16A67694">
            <w:pPr>
              <w:pStyle w:val="44"/>
              <w:ind w:left="110" w:leftChars="50" w:right="110" w:rightChars="50"/>
              <w:rPr>
                <w:rFonts w:hint="eastAsia"/>
                <w:color w:val="auto"/>
                <w:highlight w:val="none"/>
              </w:rPr>
            </w:pPr>
            <w:r>
              <w:rPr>
                <w:color w:val="auto"/>
                <w:highlight w:val="none"/>
              </w:rPr>
              <w:t>宜综合设置</w:t>
            </w:r>
          </w:p>
        </w:tc>
      </w:tr>
      <w:tr w14:paraId="79C88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93" w:type="dxa"/>
            <w:vMerge w:val="restart"/>
          </w:tcPr>
          <w:p w14:paraId="5C31FC9B">
            <w:pPr>
              <w:pStyle w:val="44"/>
              <w:ind w:left="110" w:leftChars="50" w:right="110" w:rightChars="50"/>
              <w:rPr>
                <w:rFonts w:hint="eastAsia"/>
                <w:color w:val="auto"/>
                <w:highlight w:val="none"/>
              </w:rPr>
            </w:pPr>
            <w:r>
              <w:rPr>
                <w:color w:val="auto"/>
                <w:highlight w:val="none"/>
              </w:rPr>
              <w:t>商业服务</w:t>
            </w:r>
          </w:p>
        </w:tc>
        <w:tc>
          <w:tcPr>
            <w:tcW w:w="1771" w:type="dxa"/>
          </w:tcPr>
          <w:p w14:paraId="04B4C05F">
            <w:pPr>
              <w:pStyle w:val="44"/>
              <w:ind w:left="110" w:leftChars="50" w:right="110" w:rightChars="50"/>
              <w:rPr>
                <w:rFonts w:hint="eastAsia"/>
                <w:color w:val="auto"/>
                <w:highlight w:val="none"/>
              </w:rPr>
            </w:pPr>
            <w:r>
              <w:rPr>
                <w:color w:val="auto"/>
                <w:highlight w:val="none"/>
              </w:rPr>
              <w:t>便民农家店</w:t>
            </w:r>
          </w:p>
        </w:tc>
        <w:tc>
          <w:tcPr>
            <w:tcW w:w="1013" w:type="dxa"/>
          </w:tcPr>
          <w:p w14:paraId="2544ABDE">
            <w:pPr>
              <w:pStyle w:val="44"/>
              <w:ind w:left="110" w:leftChars="50" w:right="110" w:rightChars="50"/>
              <w:rPr>
                <w:rFonts w:hint="eastAsia"/>
                <w:color w:val="auto"/>
                <w:highlight w:val="none"/>
              </w:rPr>
            </w:pPr>
            <w:r>
              <w:rPr>
                <w:color w:val="auto"/>
                <w:highlight w:val="none"/>
              </w:rPr>
              <w:t>●</w:t>
            </w:r>
          </w:p>
        </w:tc>
        <w:tc>
          <w:tcPr>
            <w:tcW w:w="1000" w:type="dxa"/>
          </w:tcPr>
          <w:p w14:paraId="568235B2">
            <w:pPr>
              <w:pStyle w:val="44"/>
              <w:ind w:left="110" w:leftChars="50" w:right="110" w:rightChars="50"/>
              <w:rPr>
                <w:rFonts w:hint="eastAsia"/>
                <w:color w:val="auto"/>
                <w:highlight w:val="none"/>
              </w:rPr>
            </w:pPr>
            <w:r>
              <w:rPr>
                <w:color w:val="auto"/>
                <w:highlight w:val="none"/>
              </w:rPr>
              <w:t>○</w:t>
            </w:r>
          </w:p>
        </w:tc>
        <w:tc>
          <w:tcPr>
            <w:tcW w:w="3906" w:type="dxa"/>
          </w:tcPr>
          <w:p w14:paraId="5C52C388">
            <w:pPr>
              <w:pStyle w:val="44"/>
              <w:ind w:left="110" w:leftChars="50" w:right="110" w:rightChars="50"/>
              <w:rPr>
                <w:rFonts w:hint="eastAsia"/>
                <w:color w:val="auto"/>
                <w:highlight w:val="none"/>
                <w:lang w:eastAsia="zh-CN"/>
              </w:rPr>
            </w:pPr>
            <w:r>
              <w:rPr>
                <w:color w:val="auto"/>
                <w:spacing w:val="-9"/>
                <w:highlight w:val="none"/>
                <w:lang w:eastAsia="zh-CN"/>
              </w:rPr>
              <w:t>各行政村设</w:t>
            </w:r>
            <w:r>
              <w:rPr>
                <w:color w:val="auto"/>
                <w:highlight w:val="none"/>
                <w:lang w:eastAsia="zh-CN"/>
              </w:rPr>
              <w:t>1</w:t>
            </w:r>
            <w:r>
              <w:rPr>
                <w:color w:val="auto"/>
                <w:spacing w:val="-4"/>
                <w:highlight w:val="none"/>
                <w:lang w:eastAsia="zh-CN"/>
              </w:rPr>
              <w:t>处，村域面积较大或集中</w:t>
            </w:r>
            <w:r>
              <w:rPr>
                <w:color w:val="auto"/>
                <w:spacing w:val="-3"/>
                <w:highlight w:val="none"/>
                <w:lang w:eastAsia="zh-CN"/>
              </w:rPr>
              <w:t>居民点较分散情况下可多点设置</w:t>
            </w:r>
          </w:p>
        </w:tc>
        <w:tc>
          <w:tcPr>
            <w:tcW w:w="1350" w:type="dxa"/>
          </w:tcPr>
          <w:p w14:paraId="6E241863">
            <w:pPr>
              <w:pStyle w:val="44"/>
              <w:ind w:left="110" w:leftChars="50" w:right="110" w:rightChars="50"/>
              <w:rPr>
                <w:rFonts w:hint="eastAsia"/>
                <w:color w:val="auto"/>
                <w:highlight w:val="none"/>
              </w:rPr>
            </w:pPr>
            <w:r>
              <w:rPr>
                <w:color w:val="auto"/>
                <w:highlight w:val="none"/>
              </w:rPr>
              <w:t>宜综合设置</w:t>
            </w:r>
          </w:p>
        </w:tc>
      </w:tr>
      <w:tr w14:paraId="1F74A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93" w:type="dxa"/>
            <w:vMerge w:val="continue"/>
            <w:tcBorders>
              <w:top w:val="nil"/>
            </w:tcBorders>
          </w:tcPr>
          <w:p w14:paraId="1C2E4E60">
            <w:pPr>
              <w:ind w:left="110" w:leftChars="50" w:right="110" w:rightChars="50"/>
              <w:jc w:val="center"/>
              <w:rPr>
                <w:rFonts w:hint="eastAsia"/>
                <w:color w:val="auto"/>
                <w:highlight w:val="none"/>
              </w:rPr>
            </w:pPr>
          </w:p>
        </w:tc>
        <w:tc>
          <w:tcPr>
            <w:tcW w:w="1771" w:type="dxa"/>
          </w:tcPr>
          <w:p w14:paraId="37817F89">
            <w:pPr>
              <w:pStyle w:val="44"/>
              <w:ind w:left="110" w:leftChars="50" w:right="110" w:rightChars="50"/>
              <w:rPr>
                <w:rFonts w:hint="eastAsia"/>
                <w:color w:val="auto"/>
                <w:highlight w:val="none"/>
              </w:rPr>
            </w:pPr>
            <w:r>
              <w:rPr>
                <w:color w:val="auto"/>
                <w:highlight w:val="none"/>
              </w:rPr>
              <w:t>金融电信服务点</w:t>
            </w:r>
          </w:p>
        </w:tc>
        <w:tc>
          <w:tcPr>
            <w:tcW w:w="1013" w:type="dxa"/>
          </w:tcPr>
          <w:p w14:paraId="7E066942">
            <w:pPr>
              <w:pStyle w:val="44"/>
              <w:ind w:left="110" w:leftChars="50" w:right="110" w:rightChars="50"/>
              <w:rPr>
                <w:rFonts w:hint="eastAsia"/>
                <w:color w:val="auto"/>
                <w:highlight w:val="none"/>
              </w:rPr>
            </w:pPr>
            <w:r>
              <w:rPr>
                <w:color w:val="auto"/>
                <w:highlight w:val="none"/>
              </w:rPr>
              <w:t>○</w:t>
            </w:r>
          </w:p>
        </w:tc>
        <w:tc>
          <w:tcPr>
            <w:tcW w:w="1000" w:type="dxa"/>
          </w:tcPr>
          <w:p w14:paraId="5700F58C">
            <w:pPr>
              <w:pStyle w:val="44"/>
              <w:ind w:left="110" w:leftChars="50" w:right="110" w:rightChars="50"/>
              <w:rPr>
                <w:rFonts w:hint="eastAsia"/>
                <w:color w:val="auto"/>
                <w:highlight w:val="none"/>
              </w:rPr>
            </w:pPr>
            <w:r>
              <w:rPr>
                <w:color w:val="auto"/>
                <w:highlight w:val="none"/>
              </w:rPr>
              <w:t>○</w:t>
            </w:r>
          </w:p>
        </w:tc>
        <w:tc>
          <w:tcPr>
            <w:tcW w:w="3906" w:type="dxa"/>
          </w:tcPr>
          <w:p w14:paraId="5AD8DD57">
            <w:pPr>
              <w:pStyle w:val="44"/>
              <w:ind w:left="110" w:leftChars="50" w:right="110" w:rightChars="50"/>
              <w:rPr>
                <w:rFonts w:hint="eastAsia"/>
                <w:color w:val="auto"/>
                <w:highlight w:val="none"/>
              </w:rPr>
            </w:pPr>
            <w:r>
              <w:rPr>
                <w:color w:val="auto"/>
                <w:highlight w:val="none"/>
              </w:rPr>
              <w:t>—</w:t>
            </w:r>
          </w:p>
        </w:tc>
        <w:tc>
          <w:tcPr>
            <w:tcW w:w="1350" w:type="dxa"/>
          </w:tcPr>
          <w:p w14:paraId="4CB03882">
            <w:pPr>
              <w:pStyle w:val="44"/>
              <w:ind w:left="110" w:leftChars="50" w:right="110" w:rightChars="50"/>
              <w:rPr>
                <w:rFonts w:hint="eastAsia"/>
                <w:color w:val="auto"/>
                <w:highlight w:val="none"/>
              </w:rPr>
            </w:pPr>
            <w:r>
              <w:rPr>
                <w:color w:val="auto"/>
                <w:highlight w:val="none"/>
              </w:rPr>
              <w:t>宜综合设置</w:t>
            </w:r>
          </w:p>
        </w:tc>
      </w:tr>
      <w:tr w14:paraId="626B2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93" w:type="dxa"/>
          </w:tcPr>
          <w:p w14:paraId="5A4E34C7">
            <w:pPr>
              <w:pStyle w:val="44"/>
              <w:ind w:left="110" w:leftChars="50" w:right="110" w:rightChars="50"/>
              <w:rPr>
                <w:rFonts w:hint="eastAsia"/>
                <w:color w:val="auto"/>
                <w:highlight w:val="none"/>
              </w:rPr>
            </w:pPr>
            <w:r>
              <w:rPr>
                <w:color w:val="auto"/>
                <w:highlight w:val="none"/>
              </w:rPr>
              <w:t>健康管理</w:t>
            </w:r>
          </w:p>
        </w:tc>
        <w:tc>
          <w:tcPr>
            <w:tcW w:w="1771" w:type="dxa"/>
          </w:tcPr>
          <w:p w14:paraId="054B9A7A">
            <w:pPr>
              <w:pStyle w:val="44"/>
              <w:ind w:left="110" w:leftChars="50" w:right="110" w:rightChars="50"/>
              <w:rPr>
                <w:rFonts w:hint="eastAsia"/>
                <w:color w:val="auto"/>
                <w:highlight w:val="none"/>
              </w:rPr>
            </w:pPr>
            <w:r>
              <w:rPr>
                <w:color w:val="auto"/>
                <w:highlight w:val="none"/>
              </w:rPr>
              <w:t>村卫生室</w:t>
            </w:r>
          </w:p>
        </w:tc>
        <w:tc>
          <w:tcPr>
            <w:tcW w:w="1013" w:type="dxa"/>
          </w:tcPr>
          <w:p w14:paraId="4071E82D">
            <w:pPr>
              <w:pStyle w:val="44"/>
              <w:ind w:left="110" w:leftChars="50" w:right="110" w:rightChars="50"/>
              <w:rPr>
                <w:rFonts w:hint="eastAsia"/>
                <w:color w:val="auto"/>
                <w:highlight w:val="none"/>
              </w:rPr>
            </w:pPr>
            <w:r>
              <w:rPr>
                <w:color w:val="auto"/>
                <w:highlight w:val="none"/>
              </w:rPr>
              <w:t>●</w:t>
            </w:r>
          </w:p>
        </w:tc>
        <w:tc>
          <w:tcPr>
            <w:tcW w:w="1000" w:type="dxa"/>
          </w:tcPr>
          <w:p w14:paraId="6CE4E67A">
            <w:pPr>
              <w:pStyle w:val="44"/>
              <w:ind w:left="110" w:leftChars="50" w:right="110" w:rightChars="50"/>
              <w:rPr>
                <w:rFonts w:hint="eastAsia"/>
                <w:color w:val="auto"/>
                <w:highlight w:val="none"/>
              </w:rPr>
            </w:pPr>
            <w:r>
              <w:rPr>
                <w:color w:val="auto"/>
                <w:highlight w:val="none"/>
              </w:rPr>
              <w:t>○</w:t>
            </w:r>
          </w:p>
        </w:tc>
        <w:tc>
          <w:tcPr>
            <w:tcW w:w="3906" w:type="dxa"/>
          </w:tcPr>
          <w:p w14:paraId="246AD83F">
            <w:pPr>
              <w:pStyle w:val="44"/>
              <w:ind w:left="110" w:leftChars="50" w:right="110" w:rightChars="50"/>
              <w:rPr>
                <w:rFonts w:hint="eastAsia"/>
                <w:color w:val="auto"/>
                <w:highlight w:val="none"/>
                <w:lang w:eastAsia="zh-CN"/>
              </w:rPr>
            </w:pPr>
            <w:r>
              <w:rPr>
                <w:color w:val="auto"/>
                <w:spacing w:val="-9"/>
                <w:highlight w:val="none"/>
                <w:lang w:eastAsia="zh-CN"/>
              </w:rPr>
              <w:t>各行政村设</w:t>
            </w:r>
            <w:r>
              <w:rPr>
                <w:color w:val="auto"/>
                <w:highlight w:val="none"/>
                <w:lang w:eastAsia="zh-CN"/>
              </w:rPr>
              <w:t>1</w:t>
            </w:r>
            <w:r>
              <w:rPr>
                <w:color w:val="auto"/>
                <w:spacing w:val="-4"/>
                <w:highlight w:val="none"/>
                <w:lang w:eastAsia="zh-CN"/>
              </w:rPr>
              <w:t>处，村域面积较大或集中</w:t>
            </w:r>
            <w:r>
              <w:rPr>
                <w:color w:val="auto"/>
                <w:spacing w:val="-3"/>
                <w:highlight w:val="none"/>
                <w:lang w:eastAsia="zh-CN"/>
              </w:rPr>
              <w:t>居民点较分散情况下可多点设置</w:t>
            </w:r>
          </w:p>
        </w:tc>
        <w:tc>
          <w:tcPr>
            <w:tcW w:w="1350" w:type="dxa"/>
          </w:tcPr>
          <w:p w14:paraId="31F6C187">
            <w:pPr>
              <w:pStyle w:val="44"/>
              <w:ind w:left="110" w:leftChars="50" w:right="110" w:rightChars="50"/>
              <w:rPr>
                <w:rFonts w:hint="eastAsia"/>
                <w:color w:val="auto"/>
                <w:highlight w:val="none"/>
              </w:rPr>
            </w:pPr>
            <w:r>
              <w:rPr>
                <w:color w:val="auto"/>
                <w:highlight w:val="none"/>
              </w:rPr>
              <w:t>宜综合设置</w:t>
            </w:r>
          </w:p>
        </w:tc>
      </w:tr>
      <w:tr w14:paraId="60B49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93" w:type="dxa"/>
            <w:vMerge w:val="restart"/>
          </w:tcPr>
          <w:p w14:paraId="44B624AA">
            <w:pPr>
              <w:pStyle w:val="44"/>
              <w:ind w:left="110" w:leftChars="50" w:right="110" w:rightChars="50"/>
              <w:rPr>
                <w:rFonts w:hint="eastAsia"/>
                <w:color w:val="auto"/>
                <w:highlight w:val="none"/>
              </w:rPr>
            </w:pPr>
          </w:p>
          <w:p w14:paraId="1AA955FE">
            <w:pPr>
              <w:pStyle w:val="44"/>
              <w:ind w:left="110" w:leftChars="50" w:right="110" w:rightChars="50"/>
              <w:rPr>
                <w:rFonts w:hint="eastAsia"/>
                <w:color w:val="auto"/>
                <w:highlight w:val="none"/>
              </w:rPr>
            </w:pPr>
          </w:p>
          <w:p w14:paraId="6D54A8A5">
            <w:pPr>
              <w:pStyle w:val="44"/>
              <w:ind w:left="110" w:leftChars="50" w:right="110" w:rightChars="50"/>
              <w:rPr>
                <w:rFonts w:hint="eastAsia"/>
                <w:color w:val="auto"/>
                <w:highlight w:val="none"/>
              </w:rPr>
            </w:pPr>
          </w:p>
          <w:p w14:paraId="63D6A4B2">
            <w:pPr>
              <w:pStyle w:val="44"/>
              <w:ind w:left="110" w:leftChars="50" w:right="110" w:rightChars="50"/>
              <w:rPr>
                <w:rFonts w:hint="eastAsia"/>
                <w:color w:val="auto"/>
                <w:highlight w:val="none"/>
              </w:rPr>
            </w:pPr>
            <w:r>
              <w:rPr>
                <w:color w:val="auto"/>
                <w:highlight w:val="none"/>
              </w:rPr>
              <w:t>文化活动</w:t>
            </w:r>
          </w:p>
        </w:tc>
        <w:tc>
          <w:tcPr>
            <w:tcW w:w="1771" w:type="dxa"/>
          </w:tcPr>
          <w:p w14:paraId="3C792A17">
            <w:pPr>
              <w:pStyle w:val="44"/>
              <w:ind w:left="110" w:leftChars="50" w:right="110" w:rightChars="50"/>
              <w:rPr>
                <w:rFonts w:hint="eastAsia"/>
                <w:color w:val="auto"/>
                <w:highlight w:val="none"/>
              </w:rPr>
            </w:pPr>
            <w:r>
              <w:rPr>
                <w:color w:val="auto"/>
                <w:highlight w:val="none"/>
              </w:rPr>
              <w:t>文化活动室</w:t>
            </w:r>
          </w:p>
        </w:tc>
        <w:tc>
          <w:tcPr>
            <w:tcW w:w="1013" w:type="dxa"/>
          </w:tcPr>
          <w:p w14:paraId="0F507DA3">
            <w:pPr>
              <w:pStyle w:val="44"/>
              <w:ind w:left="110" w:leftChars="50" w:right="110" w:rightChars="50"/>
              <w:rPr>
                <w:rFonts w:hint="eastAsia"/>
                <w:color w:val="auto"/>
                <w:highlight w:val="none"/>
              </w:rPr>
            </w:pPr>
            <w:r>
              <w:rPr>
                <w:color w:val="auto"/>
                <w:highlight w:val="none"/>
              </w:rPr>
              <w:t>●</w:t>
            </w:r>
          </w:p>
        </w:tc>
        <w:tc>
          <w:tcPr>
            <w:tcW w:w="1000" w:type="dxa"/>
          </w:tcPr>
          <w:p w14:paraId="1DF0A26B">
            <w:pPr>
              <w:pStyle w:val="44"/>
              <w:ind w:left="110" w:leftChars="50" w:right="110" w:rightChars="50"/>
              <w:rPr>
                <w:rFonts w:hint="eastAsia"/>
                <w:color w:val="auto"/>
                <w:highlight w:val="none"/>
              </w:rPr>
            </w:pPr>
            <w:r>
              <w:rPr>
                <w:color w:val="auto"/>
                <w:highlight w:val="none"/>
              </w:rPr>
              <w:t>○</w:t>
            </w:r>
          </w:p>
        </w:tc>
        <w:tc>
          <w:tcPr>
            <w:tcW w:w="3906" w:type="dxa"/>
          </w:tcPr>
          <w:p w14:paraId="3393B24C">
            <w:pPr>
              <w:pStyle w:val="44"/>
              <w:ind w:left="110" w:leftChars="50" w:right="110" w:rightChars="50"/>
              <w:rPr>
                <w:rFonts w:hint="eastAsia"/>
                <w:color w:val="auto"/>
                <w:highlight w:val="none"/>
                <w:lang w:eastAsia="zh-CN"/>
              </w:rPr>
            </w:pPr>
            <w:r>
              <w:rPr>
                <w:color w:val="auto"/>
                <w:spacing w:val="-9"/>
                <w:highlight w:val="none"/>
                <w:lang w:eastAsia="zh-CN"/>
              </w:rPr>
              <w:t>各行政村设</w:t>
            </w:r>
            <w:r>
              <w:rPr>
                <w:color w:val="auto"/>
                <w:highlight w:val="none"/>
                <w:lang w:eastAsia="zh-CN"/>
              </w:rPr>
              <w:t>1</w:t>
            </w:r>
            <w:r>
              <w:rPr>
                <w:color w:val="auto"/>
                <w:spacing w:val="-4"/>
                <w:highlight w:val="none"/>
                <w:lang w:eastAsia="zh-CN"/>
              </w:rPr>
              <w:t>处，村域面积较大或集中</w:t>
            </w:r>
            <w:r>
              <w:rPr>
                <w:color w:val="auto"/>
                <w:spacing w:val="-3"/>
                <w:highlight w:val="none"/>
                <w:lang w:eastAsia="zh-CN"/>
              </w:rPr>
              <w:t>居民点较分散情况下可多点设置</w:t>
            </w:r>
          </w:p>
        </w:tc>
        <w:tc>
          <w:tcPr>
            <w:tcW w:w="1350" w:type="dxa"/>
          </w:tcPr>
          <w:p w14:paraId="442BD5C4">
            <w:pPr>
              <w:pStyle w:val="44"/>
              <w:ind w:left="110" w:leftChars="50" w:right="110" w:rightChars="50"/>
              <w:rPr>
                <w:rFonts w:hint="eastAsia"/>
                <w:color w:val="auto"/>
                <w:highlight w:val="none"/>
              </w:rPr>
            </w:pPr>
            <w:r>
              <w:rPr>
                <w:color w:val="auto"/>
                <w:highlight w:val="none"/>
              </w:rPr>
              <w:t>宜综合设置</w:t>
            </w:r>
          </w:p>
        </w:tc>
      </w:tr>
      <w:tr w14:paraId="474A6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93" w:type="dxa"/>
            <w:vMerge w:val="continue"/>
            <w:tcBorders>
              <w:top w:val="nil"/>
            </w:tcBorders>
          </w:tcPr>
          <w:p w14:paraId="0B108EF9">
            <w:pPr>
              <w:ind w:left="110" w:leftChars="50" w:right="110" w:rightChars="50"/>
              <w:jc w:val="center"/>
              <w:rPr>
                <w:rFonts w:hint="eastAsia"/>
                <w:color w:val="auto"/>
                <w:highlight w:val="none"/>
              </w:rPr>
            </w:pPr>
          </w:p>
        </w:tc>
        <w:tc>
          <w:tcPr>
            <w:tcW w:w="1771" w:type="dxa"/>
          </w:tcPr>
          <w:p w14:paraId="1549A8FF">
            <w:pPr>
              <w:pStyle w:val="44"/>
              <w:ind w:left="110" w:leftChars="50" w:right="110" w:rightChars="50"/>
              <w:rPr>
                <w:rFonts w:hint="eastAsia"/>
                <w:color w:val="auto"/>
                <w:highlight w:val="none"/>
              </w:rPr>
            </w:pPr>
            <w:r>
              <w:rPr>
                <w:color w:val="auto"/>
                <w:highlight w:val="none"/>
              </w:rPr>
              <w:t>农家书屋</w:t>
            </w:r>
          </w:p>
        </w:tc>
        <w:tc>
          <w:tcPr>
            <w:tcW w:w="1013" w:type="dxa"/>
          </w:tcPr>
          <w:p w14:paraId="45E4FD80">
            <w:pPr>
              <w:pStyle w:val="44"/>
              <w:ind w:left="110" w:leftChars="50" w:right="110" w:rightChars="50"/>
              <w:rPr>
                <w:rFonts w:hint="eastAsia"/>
                <w:color w:val="auto"/>
                <w:highlight w:val="none"/>
              </w:rPr>
            </w:pPr>
            <w:r>
              <w:rPr>
                <w:color w:val="auto"/>
                <w:highlight w:val="none"/>
              </w:rPr>
              <w:t>●</w:t>
            </w:r>
          </w:p>
        </w:tc>
        <w:tc>
          <w:tcPr>
            <w:tcW w:w="1000" w:type="dxa"/>
          </w:tcPr>
          <w:p w14:paraId="7CDE008C">
            <w:pPr>
              <w:pStyle w:val="44"/>
              <w:ind w:left="110" w:leftChars="50" w:right="110" w:rightChars="50"/>
              <w:rPr>
                <w:rFonts w:hint="eastAsia"/>
                <w:color w:val="auto"/>
                <w:highlight w:val="none"/>
              </w:rPr>
            </w:pPr>
            <w:r>
              <w:rPr>
                <w:color w:val="auto"/>
                <w:highlight w:val="none"/>
              </w:rPr>
              <w:t>○</w:t>
            </w:r>
          </w:p>
        </w:tc>
        <w:tc>
          <w:tcPr>
            <w:tcW w:w="3906" w:type="dxa"/>
          </w:tcPr>
          <w:p w14:paraId="6BC7EE06">
            <w:pPr>
              <w:pStyle w:val="44"/>
              <w:ind w:left="110" w:leftChars="50" w:right="110" w:rightChars="50"/>
              <w:rPr>
                <w:rFonts w:hint="eastAsia"/>
                <w:color w:val="auto"/>
                <w:highlight w:val="none"/>
                <w:lang w:eastAsia="zh-CN"/>
              </w:rPr>
            </w:pPr>
            <w:r>
              <w:rPr>
                <w:color w:val="auto"/>
                <w:spacing w:val="-9"/>
                <w:highlight w:val="none"/>
                <w:lang w:eastAsia="zh-CN"/>
              </w:rPr>
              <w:t>各行政村设</w:t>
            </w:r>
            <w:r>
              <w:rPr>
                <w:color w:val="auto"/>
                <w:highlight w:val="none"/>
                <w:lang w:eastAsia="zh-CN"/>
              </w:rPr>
              <w:t>1</w:t>
            </w:r>
            <w:r>
              <w:rPr>
                <w:color w:val="auto"/>
                <w:spacing w:val="-4"/>
                <w:highlight w:val="none"/>
                <w:lang w:eastAsia="zh-CN"/>
              </w:rPr>
              <w:t>处，村域面积较大或集中</w:t>
            </w:r>
            <w:r>
              <w:rPr>
                <w:color w:val="auto"/>
                <w:spacing w:val="-3"/>
                <w:highlight w:val="none"/>
                <w:lang w:eastAsia="zh-CN"/>
              </w:rPr>
              <w:t>居民点较分散情况下可多点设置</w:t>
            </w:r>
          </w:p>
        </w:tc>
        <w:tc>
          <w:tcPr>
            <w:tcW w:w="1350" w:type="dxa"/>
          </w:tcPr>
          <w:p w14:paraId="70033D0F">
            <w:pPr>
              <w:pStyle w:val="44"/>
              <w:ind w:left="110" w:leftChars="50" w:right="110" w:rightChars="50"/>
              <w:rPr>
                <w:rFonts w:hint="eastAsia"/>
                <w:color w:val="auto"/>
                <w:highlight w:val="none"/>
              </w:rPr>
            </w:pPr>
            <w:r>
              <w:rPr>
                <w:color w:val="auto"/>
                <w:highlight w:val="none"/>
              </w:rPr>
              <w:t>宜综合设置</w:t>
            </w:r>
          </w:p>
        </w:tc>
      </w:tr>
      <w:tr w14:paraId="22347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93" w:type="dxa"/>
            <w:vMerge w:val="continue"/>
            <w:tcBorders>
              <w:top w:val="nil"/>
            </w:tcBorders>
          </w:tcPr>
          <w:p w14:paraId="0BD46979">
            <w:pPr>
              <w:ind w:left="110" w:leftChars="50" w:right="110" w:rightChars="50"/>
              <w:jc w:val="center"/>
              <w:rPr>
                <w:rFonts w:hint="eastAsia"/>
                <w:color w:val="auto"/>
                <w:highlight w:val="none"/>
              </w:rPr>
            </w:pPr>
          </w:p>
        </w:tc>
        <w:tc>
          <w:tcPr>
            <w:tcW w:w="1771" w:type="dxa"/>
          </w:tcPr>
          <w:p w14:paraId="6EDEEE84">
            <w:pPr>
              <w:pStyle w:val="44"/>
              <w:ind w:left="110" w:leftChars="50" w:right="110" w:rightChars="50"/>
              <w:rPr>
                <w:rFonts w:hint="eastAsia"/>
                <w:color w:val="auto"/>
                <w:highlight w:val="none"/>
              </w:rPr>
            </w:pPr>
            <w:r>
              <w:rPr>
                <w:color w:val="auto"/>
                <w:highlight w:val="none"/>
              </w:rPr>
              <w:t>红白喜事厅</w:t>
            </w:r>
          </w:p>
        </w:tc>
        <w:tc>
          <w:tcPr>
            <w:tcW w:w="1013" w:type="dxa"/>
          </w:tcPr>
          <w:p w14:paraId="79713A8E">
            <w:pPr>
              <w:pStyle w:val="44"/>
              <w:ind w:left="110" w:leftChars="50" w:right="110" w:rightChars="50"/>
              <w:rPr>
                <w:rFonts w:hint="eastAsia"/>
                <w:color w:val="auto"/>
                <w:highlight w:val="none"/>
              </w:rPr>
            </w:pPr>
            <w:r>
              <w:rPr>
                <w:color w:val="auto"/>
                <w:highlight w:val="none"/>
              </w:rPr>
              <w:t>○</w:t>
            </w:r>
          </w:p>
        </w:tc>
        <w:tc>
          <w:tcPr>
            <w:tcW w:w="1000" w:type="dxa"/>
          </w:tcPr>
          <w:p w14:paraId="07E05C7D">
            <w:pPr>
              <w:pStyle w:val="44"/>
              <w:ind w:left="110" w:leftChars="50" w:right="110" w:rightChars="50"/>
              <w:rPr>
                <w:rFonts w:hint="eastAsia"/>
                <w:color w:val="auto"/>
                <w:highlight w:val="none"/>
              </w:rPr>
            </w:pPr>
            <w:r>
              <w:rPr>
                <w:color w:val="auto"/>
                <w:highlight w:val="none"/>
              </w:rPr>
              <w:t>○</w:t>
            </w:r>
          </w:p>
        </w:tc>
        <w:tc>
          <w:tcPr>
            <w:tcW w:w="3906" w:type="dxa"/>
          </w:tcPr>
          <w:p w14:paraId="4548E779">
            <w:pPr>
              <w:pStyle w:val="44"/>
              <w:ind w:left="110" w:leftChars="50" w:right="110" w:rightChars="50"/>
              <w:rPr>
                <w:rFonts w:hint="eastAsia"/>
                <w:color w:val="auto"/>
                <w:highlight w:val="none"/>
              </w:rPr>
            </w:pPr>
            <w:r>
              <w:rPr>
                <w:color w:val="auto"/>
                <w:highlight w:val="none"/>
              </w:rPr>
              <w:t>—</w:t>
            </w:r>
          </w:p>
        </w:tc>
        <w:tc>
          <w:tcPr>
            <w:tcW w:w="1350" w:type="dxa"/>
          </w:tcPr>
          <w:p w14:paraId="18E4F26A">
            <w:pPr>
              <w:pStyle w:val="44"/>
              <w:ind w:left="110" w:leftChars="50" w:right="110" w:rightChars="50"/>
              <w:rPr>
                <w:rFonts w:hint="eastAsia"/>
                <w:color w:val="auto"/>
                <w:highlight w:val="none"/>
              </w:rPr>
            </w:pPr>
            <w:r>
              <w:rPr>
                <w:color w:val="auto"/>
                <w:highlight w:val="none"/>
              </w:rPr>
              <w:t>宜综合设置</w:t>
            </w:r>
          </w:p>
        </w:tc>
      </w:tr>
      <w:tr w14:paraId="5EC63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93" w:type="dxa"/>
            <w:vMerge w:val="continue"/>
            <w:tcBorders>
              <w:top w:val="nil"/>
            </w:tcBorders>
          </w:tcPr>
          <w:p w14:paraId="52C87C19">
            <w:pPr>
              <w:ind w:left="110" w:leftChars="50" w:right="110" w:rightChars="50"/>
              <w:jc w:val="center"/>
              <w:rPr>
                <w:rFonts w:hint="eastAsia"/>
                <w:color w:val="auto"/>
                <w:highlight w:val="none"/>
              </w:rPr>
            </w:pPr>
          </w:p>
        </w:tc>
        <w:tc>
          <w:tcPr>
            <w:tcW w:w="1771" w:type="dxa"/>
          </w:tcPr>
          <w:p w14:paraId="704DAD03">
            <w:pPr>
              <w:pStyle w:val="44"/>
              <w:ind w:left="110" w:leftChars="50" w:right="110" w:rightChars="50"/>
              <w:rPr>
                <w:rFonts w:hint="eastAsia"/>
                <w:color w:val="auto"/>
                <w:highlight w:val="none"/>
              </w:rPr>
            </w:pPr>
            <w:r>
              <w:rPr>
                <w:color w:val="auto"/>
                <w:highlight w:val="none"/>
              </w:rPr>
              <w:t>特色民俗活动点</w:t>
            </w:r>
          </w:p>
        </w:tc>
        <w:tc>
          <w:tcPr>
            <w:tcW w:w="1013" w:type="dxa"/>
          </w:tcPr>
          <w:p w14:paraId="6EF33570">
            <w:pPr>
              <w:pStyle w:val="44"/>
              <w:ind w:left="110" w:leftChars="50" w:right="110" w:rightChars="50"/>
              <w:rPr>
                <w:rFonts w:hint="eastAsia"/>
                <w:color w:val="auto"/>
                <w:highlight w:val="none"/>
              </w:rPr>
            </w:pPr>
            <w:r>
              <w:rPr>
                <w:color w:val="auto"/>
                <w:highlight w:val="none"/>
              </w:rPr>
              <w:t>○</w:t>
            </w:r>
          </w:p>
        </w:tc>
        <w:tc>
          <w:tcPr>
            <w:tcW w:w="1000" w:type="dxa"/>
          </w:tcPr>
          <w:p w14:paraId="0355F284">
            <w:pPr>
              <w:pStyle w:val="44"/>
              <w:ind w:left="110" w:leftChars="50" w:right="110" w:rightChars="50"/>
              <w:rPr>
                <w:rFonts w:hint="eastAsia"/>
                <w:color w:val="auto"/>
                <w:highlight w:val="none"/>
              </w:rPr>
            </w:pPr>
            <w:r>
              <w:rPr>
                <w:color w:val="auto"/>
                <w:highlight w:val="none"/>
              </w:rPr>
              <w:t>○</w:t>
            </w:r>
          </w:p>
        </w:tc>
        <w:tc>
          <w:tcPr>
            <w:tcW w:w="3906" w:type="dxa"/>
          </w:tcPr>
          <w:p w14:paraId="134569ED">
            <w:pPr>
              <w:pStyle w:val="44"/>
              <w:ind w:left="110" w:leftChars="50" w:right="110" w:rightChars="50"/>
              <w:rPr>
                <w:rFonts w:hint="eastAsia"/>
                <w:color w:val="auto"/>
                <w:highlight w:val="none"/>
              </w:rPr>
            </w:pPr>
            <w:r>
              <w:rPr>
                <w:color w:val="auto"/>
                <w:highlight w:val="none"/>
              </w:rPr>
              <w:t>—</w:t>
            </w:r>
          </w:p>
        </w:tc>
        <w:tc>
          <w:tcPr>
            <w:tcW w:w="1350" w:type="dxa"/>
          </w:tcPr>
          <w:p w14:paraId="68FD76DF">
            <w:pPr>
              <w:pStyle w:val="44"/>
              <w:ind w:left="110" w:leftChars="50" w:right="110" w:rightChars="50"/>
              <w:rPr>
                <w:rFonts w:hint="eastAsia"/>
                <w:color w:val="auto"/>
                <w:highlight w:val="none"/>
              </w:rPr>
            </w:pPr>
            <w:r>
              <w:rPr>
                <w:color w:val="auto"/>
                <w:highlight w:val="none"/>
              </w:rPr>
              <w:t>宜综合设置</w:t>
            </w:r>
          </w:p>
        </w:tc>
      </w:tr>
      <w:tr w14:paraId="290B6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93" w:type="dxa"/>
            <w:vMerge w:val="continue"/>
            <w:tcBorders>
              <w:top w:val="nil"/>
            </w:tcBorders>
          </w:tcPr>
          <w:p w14:paraId="7552F2E9">
            <w:pPr>
              <w:ind w:left="110" w:leftChars="50" w:right="110" w:rightChars="50"/>
              <w:jc w:val="center"/>
              <w:rPr>
                <w:rFonts w:hint="eastAsia"/>
                <w:color w:val="auto"/>
                <w:highlight w:val="none"/>
              </w:rPr>
            </w:pPr>
          </w:p>
        </w:tc>
        <w:tc>
          <w:tcPr>
            <w:tcW w:w="1771" w:type="dxa"/>
          </w:tcPr>
          <w:p w14:paraId="0A3DD9A5">
            <w:pPr>
              <w:pStyle w:val="44"/>
              <w:ind w:left="110" w:leftChars="50" w:right="110" w:rightChars="50"/>
              <w:rPr>
                <w:rFonts w:hint="eastAsia"/>
                <w:color w:val="auto"/>
                <w:highlight w:val="none"/>
              </w:rPr>
            </w:pPr>
            <w:r>
              <w:rPr>
                <w:color w:val="auto"/>
                <w:highlight w:val="none"/>
              </w:rPr>
              <w:t>戏台</w:t>
            </w:r>
          </w:p>
        </w:tc>
        <w:tc>
          <w:tcPr>
            <w:tcW w:w="1013" w:type="dxa"/>
          </w:tcPr>
          <w:p w14:paraId="01D3524E">
            <w:pPr>
              <w:pStyle w:val="44"/>
              <w:ind w:left="110" w:leftChars="50" w:right="110" w:rightChars="50"/>
              <w:rPr>
                <w:rFonts w:hint="eastAsia"/>
                <w:color w:val="auto"/>
                <w:highlight w:val="none"/>
              </w:rPr>
            </w:pPr>
            <w:r>
              <w:rPr>
                <w:color w:val="auto"/>
                <w:highlight w:val="none"/>
              </w:rPr>
              <w:t>○</w:t>
            </w:r>
          </w:p>
        </w:tc>
        <w:tc>
          <w:tcPr>
            <w:tcW w:w="1000" w:type="dxa"/>
          </w:tcPr>
          <w:p w14:paraId="23093921">
            <w:pPr>
              <w:pStyle w:val="44"/>
              <w:ind w:left="110" w:leftChars="50" w:right="110" w:rightChars="50"/>
              <w:rPr>
                <w:rFonts w:hint="eastAsia"/>
                <w:color w:val="auto"/>
                <w:highlight w:val="none"/>
              </w:rPr>
            </w:pPr>
            <w:r>
              <w:rPr>
                <w:color w:val="auto"/>
                <w:highlight w:val="none"/>
              </w:rPr>
              <w:t>○</w:t>
            </w:r>
          </w:p>
        </w:tc>
        <w:tc>
          <w:tcPr>
            <w:tcW w:w="3906" w:type="dxa"/>
          </w:tcPr>
          <w:p w14:paraId="33E162B6">
            <w:pPr>
              <w:pStyle w:val="44"/>
              <w:ind w:left="110" w:leftChars="50" w:right="110" w:rightChars="50"/>
              <w:rPr>
                <w:rFonts w:hint="eastAsia"/>
                <w:color w:val="auto"/>
                <w:highlight w:val="none"/>
              </w:rPr>
            </w:pPr>
            <w:r>
              <w:rPr>
                <w:color w:val="auto"/>
                <w:highlight w:val="none"/>
              </w:rPr>
              <w:t>—</w:t>
            </w:r>
          </w:p>
        </w:tc>
        <w:tc>
          <w:tcPr>
            <w:tcW w:w="1350" w:type="dxa"/>
          </w:tcPr>
          <w:p w14:paraId="6894A1AD">
            <w:pPr>
              <w:pStyle w:val="44"/>
              <w:ind w:left="110" w:leftChars="50" w:right="110" w:rightChars="50"/>
              <w:rPr>
                <w:rFonts w:hint="eastAsia"/>
                <w:color w:val="auto"/>
                <w:highlight w:val="none"/>
              </w:rPr>
            </w:pPr>
            <w:r>
              <w:rPr>
                <w:color w:val="auto"/>
                <w:highlight w:val="none"/>
              </w:rPr>
              <w:t>宜综合设置</w:t>
            </w:r>
          </w:p>
        </w:tc>
      </w:tr>
      <w:tr w14:paraId="2C149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93" w:type="dxa"/>
          </w:tcPr>
          <w:p w14:paraId="35916AAA">
            <w:pPr>
              <w:pStyle w:val="44"/>
              <w:ind w:left="110" w:leftChars="50" w:right="110" w:rightChars="50"/>
              <w:rPr>
                <w:rFonts w:hint="eastAsia"/>
                <w:color w:val="auto"/>
                <w:highlight w:val="none"/>
              </w:rPr>
            </w:pPr>
            <w:r>
              <w:rPr>
                <w:color w:val="auto"/>
                <w:highlight w:val="none"/>
              </w:rPr>
              <w:t>体育健身</w:t>
            </w:r>
          </w:p>
        </w:tc>
        <w:tc>
          <w:tcPr>
            <w:tcW w:w="1771" w:type="dxa"/>
          </w:tcPr>
          <w:p w14:paraId="26B5C3B1">
            <w:pPr>
              <w:pStyle w:val="44"/>
              <w:ind w:left="110" w:leftChars="50" w:right="110" w:rightChars="50"/>
              <w:rPr>
                <w:rFonts w:hint="eastAsia"/>
                <w:color w:val="auto"/>
                <w:highlight w:val="none"/>
              </w:rPr>
            </w:pPr>
            <w:r>
              <w:rPr>
                <w:color w:val="auto"/>
                <w:highlight w:val="none"/>
              </w:rPr>
              <w:t>健身广场</w:t>
            </w:r>
          </w:p>
        </w:tc>
        <w:tc>
          <w:tcPr>
            <w:tcW w:w="1013" w:type="dxa"/>
          </w:tcPr>
          <w:p w14:paraId="26211F2A">
            <w:pPr>
              <w:pStyle w:val="44"/>
              <w:ind w:left="110" w:leftChars="50" w:right="110" w:rightChars="50"/>
              <w:rPr>
                <w:rFonts w:hint="eastAsia"/>
                <w:color w:val="auto"/>
                <w:highlight w:val="none"/>
              </w:rPr>
            </w:pPr>
            <w:r>
              <w:rPr>
                <w:color w:val="auto"/>
                <w:highlight w:val="none"/>
              </w:rPr>
              <w:t>○</w:t>
            </w:r>
          </w:p>
        </w:tc>
        <w:tc>
          <w:tcPr>
            <w:tcW w:w="1000" w:type="dxa"/>
          </w:tcPr>
          <w:p w14:paraId="5FB55B22">
            <w:pPr>
              <w:pStyle w:val="44"/>
              <w:ind w:left="110" w:leftChars="50" w:right="110" w:rightChars="50"/>
              <w:rPr>
                <w:rFonts w:hint="eastAsia"/>
                <w:color w:val="auto"/>
                <w:highlight w:val="none"/>
              </w:rPr>
            </w:pPr>
            <w:r>
              <w:rPr>
                <w:color w:val="auto"/>
                <w:highlight w:val="none"/>
              </w:rPr>
              <w:t>○</w:t>
            </w:r>
          </w:p>
        </w:tc>
        <w:tc>
          <w:tcPr>
            <w:tcW w:w="3906" w:type="dxa"/>
          </w:tcPr>
          <w:p w14:paraId="4B760F20">
            <w:pPr>
              <w:pStyle w:val="44"/>
              <w:ind w:left="110" w:leftChars="50" w:right="110" w:rightChars="50"/>
              <w:rPr>
                <w:rFonts w:hint="eastAsia"/>
                <w:color w:val="auto"/>
                <w:highlight w:val="none"/>
              </w:rPr>
            </w:pPr>
            <w:r>
              <w:rPr>
                <w:color w:val="auto"/>
                <w:highlight w:val="none"/>
              </w:rPr>
              <w:t>—</w:t>
            </w:r>
          </w:p>
        </w:tc>
        <w:tc>
          <w:tcPr>
            <w:tcW w:w="1350" w:type="dxa"/>
          </w:tcPr>
          <w:p w14:paraId="0B2F2E6C">
            <w:pPr>
              <w:pStyle w:val="44"/>
              <w:ind w:left="110" w:leftChars="50" w:right="110" w:rightChars="50"/>
              <w:rPr>
                <w:rFonts w:hint="eastAsia"/>
                <w:color w:val="auto"/>
                <w:highlight w:val="none"/>
              </w:rPr>
            </w:pPr>
            <w:r>
              <w:rPr>
                <w:color w:val="auto"/>
                <w:highlight w:val="none"/>
              </w:rPr>
              <w:t>宜综合设置</w:t>
            </w:r>
          </w:p>
        </w:tc>
      </w:tr>
      <w:tr w14:paraId="7FFFA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93" w:type="dxa"/>
            <w:vMerge w:val="restart"/>
          </w:tcPr>
          <w:p w14:paraId="2D3ECF46">
            <w:pPr>
              <w:pStyle w:val="44"/>
              <w:ind w:left="110" w:leftChars="50" w:right="110" w:rightChars="50"/>
              <w:rPr>
                <w:rFonts w:hint="eastAsia"/>
                <w:color w:val="auto"/>
                <w:highlight w:val="none"/>
              </w:rPr>
            </w:pPr>
            <w:r>
              <w:rPr>
                <w:color w:val="auto"/>
                <w:highlight w:val="none"/>
              </w:rPr>
              <w:t>教育设施</w:t>
            </w:r>
          </w:p>
        </w:tc>
        <w:tc>
          <w:tcPr>
            <w:tcW w:w="1771" w:type="dxa"/>
          </w:tcPr>
          <w:p w14:paraId="5DA27955">
            <w:pPr>
              <w:pStyle w:val="44"/>
              <w:ind w:left="110" w:leftChars="50" w:right="110" w:rightChars="50"/>
              <w:rPr>
                <w:rFonts w:hint="eastAsia"/>
                <w:color w:val="auto"/>
                <w:highlight w:val="none"/>
              </w:rPr>
            </w:pPr>
            <w:r>
              <w:rPr>
                <w:color w:val="auto"/>
                <w:highlight w:val="none"/>
              </w:rPr>
              <w:t>村幼儿园</w:t>
            </w:r>
          </w:p>
        </w:tc>
        <w:tc>
          <w:tcPr>
            <w:tcW w:w="1013" w:type="dxa"/>
          </w:tcPr>
          <w:p w14:paraId="3D15A7F7">
            <w:pPr>
              <w:pStyle w:val="44"/>
              <w:ind w:left="110" w:leftChars="50" w:right="110" w:rightChars="50"/>
              <w:rPr>
                <w:rFonts w:hint="eastAsia"/>
                <w:color w:val="auto"/>
                <w:highlight w:val="none"/>
              </w:rPr>
            </w:pPr>
            <w:r>
              <w:rPr>
                <w:color w:val="auto"/>
                <w:highlight w:val="none"/>
              </w:rPr>
              <w:t>○</w:t>
            </w:r>
          </w:p>
        </w:tc>
        <w:tc>
          <w:tcPr>
            <w:tcW w:w="1000" w:type="dxa"/>
          </w:tcPr>
          <w:p w14:paraId="02D992C4">
            <w:pPr>
              <w:pStyle w:val="44"/>
              <w:ind w:left="110" w:leftChars="50" w:right="110" w:rightChars="50"/>
              <w:rPr>
                <w:rFonts w:hint="eastAsia"/>
                <w:color w:val="auto"/>
                <w:highlight w:val="none"/>
              </w:rPr>
            </w:pPr>
            <w:r>
              <w:rPr>
                <w:color w:val="auto"/>
                <w:highlight w:val="none"/>
              </w:rPr>
              <w:t>○</w:t>
            </w:r>
          </w:p>
        </w:tc>
        <w:tc>
          <w:tcPr>
            <w:tcW w:w="3906" w:type="dxa"/>
          </w:tcPr>
          <w:p w14:paraId="6FE0091F">
            <w:pPr>
              <w:pStyle w:val="44"/>
              <w:ind w:left="110" w:leftChars="50" w:right="110" w:rightChars="50"/>
              <w:rPr>
                <w:rFonts w:hint="eastAsia"/>
                <w:color w:val="auto"/>
                <w:highlight w:val="none"/>
              </w:rPr>
            </w:pPr>
            <w:r>
              <w:rPr>
                <w:color w:val="auto"/>
                <w:highlight w:val="none"/>
              </w:rPr>
              <w:t>—</w:t>
            </w:r>
          </w:p>
        </w:tc>
        <w:tc>
          <w:tcPr>
            <w:tcW w:w="1350" w:type="dxa"/>
          </w:tcPr>
          <w:p w14:paraId="00CAD2A5">
            <w:pPr>
              <w:pStyle w:val="44"/>
              <w:ind w:left="110" w:leftChars="50" w:right="110" w:rightChars="50"/>
              <w:rPr>
                <w:rFonts w:hint="eastAsia"/>
                <w:color w:val="auto"/>
                <w:highlight w:val="none"/>
              </w:rPr>
            </w:pPr>
            <w:r>
              <w:rPr>
                <w:color w:val="auto"/>
                <w:highlight w:val="none"/>
              </w:rPr>
              <w:t>应独立占地</w:t>
            </w:r>
          </w:p>
        </w:tc>
      </w:tr>
      <w:tr w14:paraId="5DC6C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93" w:type="dxa"/>
            <w:vMerge w:val="continue"/>
            <w:tcBorders>
              <w:top w:val="nil"/>
            </w:tcBorders>
          </w:tcPr>
          <w:p w14:paraId="0E046E61">
            <w:pPr>
              <w:ind w:left="110" w:leftChars="50" w:right="110" w:rightChars="50"/>
              <w:jc w:val="center"/>
              <w:rPr>
                <w:rFonts w:hint="eastAsia"/>
                <w:color w:val="auto"/>
                <w:highlight w:val="none"/>
              </w:rPr>
            </w:pPr>
          </w:p>
        </w:tc>
        <w:tc>
          <w:tcPr>
            <w:tcW w:w="1771" w:type="dxa"/>
          </w:tcPr>
          <w:p w14:paraId="5B0B2F6A">
            <w:pPr>
              <w:pStyle w:val="44"/>
              <w:ind w:left="110" w:leftChars="50" w:right="110" w:rightChars="50"/>
              <w:rPr>
                <w:rFonts w:hint="eastAsia"/>
                <w:color w:val="auto"/>
                <w:highlight w:val="none"/>
              </w:rPr>
            </w:pPr>
            <w:r>
              <w:rPr>
                <w:color w:val="auto"/>
                <w:highlight w:val="none"/>
              </w:rPr>
              <w:t>乡村小规模学校</w:t>
            </w:r>
          </w:p>
        </w:tc>
        <w:tc>
          <w:tcPr>
            <w:tcW w:w="1013" w:type="dxa"/>
          </w:tcPr>
          <w:p w14:paraId="5726EDD7">
            <w:pPr>
              <w:pStyle w:val="44"/>
              <w:ind w:left="110" w:leftChars="50" w:right="110" w:rightChars="50"/>
              <w:rPr>
                <w:rFonts w:hint="eastAsia"/>
                <w:color w:val="auto"/>
                <w:highlight w:val="none"/>
              </w:rPr>
            </w:pPr>
            <w:r>
              <w:rPr>
                <w:color w:val="auto"/>
                <w:highlight w:val="none"/>
              </w:rPr>
              <w:t>○</w:t>
            </w:r>
          </w:p>
        </w:tc>
        <w:tc>
          <w:tcPr>
            <w:tcW w:w="1000" w:type="dxa"/>
          </w:tcPr>
          <w:p w14:paraId="0B7F465F">
            <w:pPr>
              <w:pStyle w:val="44"/>
              <w:ind w:left="110" w:leftChars="50" w:right="110" w:rightChars="50"/>
              <w:rPr>
                <w:rFonts w:hint="eastAsia"/>
                <w:color w:val="auto"/>
                <w:highlight w:val="none"/>
              </w:rPr>
            </w:pPr>
            <w:r>
              <w:rPr>
                <w:color w:val="auto"/>
                <w:highlight w:val="none"/>
              </w:rPr>
              <w:t>○</w:t>
            </w:r>
          </w:p>
        </w:tc>
        <w:tc>
          <w:tcPr>
            <w:tcW w:w="3906" w:type="dxa"/>
          </w:tcPr>
          <w:p w14:paraId="2CBB6841">
            <w:pPr>
              <w:pStyle w:val="44"/>
              <w:ind w:left="110" w:leftChars="50" w:right="110" w:rightChars="50"/>
              <w:rPr>
                <w:rFonts w:hint="eastAsia"/>
                <w:color w:val="auto"/>
                <w:highlight w:val="none"/>
              </w:rPr>
            </w:pPr>
            <w:r>
              <w:rPr>
                <w:color w:val="auto"/>
                <w:highlight w:val="none"/>
              </w:rPr>
              <w:t>—</w:t>
            </w:r>
          </w:p>
        </w:tc>
        <w:tc>
          <w:tcPr>
            <w:tcW w:w="1350" w:type="dxa"/>
          </w:tcPr>
          <w:p w14:paraId="2C9B52DE">
            <w:pPr>
              <w:pStyle w:val="44"/>
              <w:ind w:left="110" w:leftChars="50" w:right="110" w:rightChars="50"/>
              <w:rPr>
                <w:rFonts w:hint="eastAsia"/>
                <w:color w:val="auto"/>
                <w:highlight w:val="none"/>
              </w:rPr>
            </w:pPr>
            <w:r>
              <w:rPr>
                <w:color w:val="auto"/>
                <w:highlight w:val="none"/>
              </w:rPr>
              <w:t>应独立占地</w:t>
            </w:r>
          </w:p>
        </w:tc>
      </w:tr>
      <w:tr w14:paraId="3366A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93" w:type="dxa"/>
            <w:vMerge w:val="restart"/>
          </w:tcPr>
          <w:p w14:paraId="2EA1A552">
            <w:pPr>
              <w:pStyle w:val="44"/>
              <w:ind w:left="110" w:leftChars="50" w:right="110" w:rightChars="50"/>
              <w:rPr>
                <w:rFonts w:hint="eastAsia"/>
                <w:color w:val="auto"/>
                <w:highlight w:val="none"/>
              </w:rPr>
            </w:pPr>
          </w:p>
          <w:p w14:paraId="0A5016CE">
            <w:pPr>
              <w:pStyle w:val="44"/>
              <w:ind w:left="110" w:leftChars="50" w:right="110" w:rightChars="50"/>
              <w:rPr>
                <w:rFonts w:hint="eastAsia"/>
                <w:color w:val="auto"/>
                <w:highlight w:val="none"/>
              </w:rPr>
            </w:pPr>
            <w:r>
              <w:rPr>
                <w:color w:val="auto"/>
                <w:highlight w:val="none"/>
              </w:rPr>
              <w:t>社会福利设施</w:t>
            </w:r>
          </w:p>
        </w:tc>
        <w:tc>
          <w:tcPr>
            <w:tcW w:w="1771" w:type="dxa"/>
          </w:tcPr>
          <w:p w14:paraId="3D879269">
            <w:pPr>
              <w:pStyle w:val="44"/>
              <w:ind w:left="110" w:leftChars="50" w:right="110" w:rightChars="50"/>
              <w:rPr>
                <w:rFonts w:hint="eastAsia"/>
                <w:color w:val="auto"/>
                <w:highlight w:val="none"/>
              </w:rPr>
            </w:pPr>
            <w:r>
              <w:rPr>
                <w:color w:val="auto"/>
                <w:highlight w:val="none"/>
              </w:rPr>
              <w:t>老年活动室</w:t>
            </w:r>
          </w:p>
        </w:tc>
        <w:tc>
          <w:tcPr>
            <w:tcW w:w="1013" w:type="dxa"/>
          </w:tcPr>
          <w:p w14:paraId="15089B1E">
            <w:pPr>
              <w:pStyle w:val="44"/>
              <w:ind w:left="110" w:leftChars="50" w:right="110" w:rightChars="50"/>
              <w:rPr>
                <w:rFonts w:hint="eastAsia"/>
                <w:color w:val="auto"/>
                <w:highlight w:val="none"/>
              </w:rPr>
            </w:pPr>
            <w:r>
              <w:rPr>
                <w:color w:val="auto"/>
                <w:highlight w:val="none"/>
              </w:rPr>
              <w:t>●</w:t>
            </w:r>
          </w:p>
        </w:tc>
        <w:tc>
          <w:tcPr>
            <w:tcW w:w="1000" w:type="dxa"/>
          </w:tcPr>
          <w:p w14:paraId="063380A1">
            <w:pPr>
              <w:pStyle w:val="44"/>
              <w:ind w:left="110" w:leftChars="50" w:right="110" w:rightChars="50"/>
              <w:rPr>
                <w:rFonts w:hint="eastAsia"/>
                <w:color w:val="auto"/>
                <w:highlight w:val="none"/>
              </w:rPr>
            </w:pPr>
            <w:r>
              <w:rPr>
                <w:color w:val="auto"/>
                <w:highlight w:val="none"/>
              </w:rPr>
              <w:t>○</w:t>
            </w:r>
          </w:p>
        </w:tc>
        <w:tc>
          <w:tcPr>
            <w:tcW w:w="3906" w:type="dxa"/>
          </w:tcPr>
          <w:p w14:paraId="00DA52D8">
            <w:pPr>
              <w:pStyle w:val="44"/>
              <w:ind w:left="110" w:leftChars="50" w:right="110" w:rightChars="50"/>
              <w:rPr>
                <w:rFonts w:hint="eastAsia"/>
                <w:color w:val="auto"/>
                <w:highlight w:val="none"/>
                <w:lang w:eastAsia="zh-CN"/>
              </w:rPr>
            </w:pPr>
            <w:r>
              <w:rPr>
                <w:color w:val="auto"/>
                <w:spacing w:val="-9"/>
                <w:highlight w:val="none"/>
                <w:lang w:eastAsia="zh-CN"/>
              </w:rPr>
              <w:t>各行政村设</w:t>
            </w:r>
            <w:r>
              <w:rPr>
                <w:color w:val="auto"/>
                <w:highlight w:val="none"/>
                <w:lang w:eastAsia="zh-CN"/>
              </w:rPr>
              <w:t>1</w:t>
            </w:r>
            <w:r>
              <w:rPr>
                <w:color w:val="auto"/>
                <w:spacing w:val="-4"/>
                <w:highlight w:val="none"/>
                <w:lang w:eastAsia="zh-CN"/>
              </w:rPr>
              <w:t>处，村域面积较大或集中</w:t>
            </w:r>
            <w:r>
              <w:rPr>
                <w:color w:val="auto"/>
                <w:spacing w:val="-3"/>
                <w:highlight w:val="none"/>
                <w:lang w:eastAsia="zh-CN"/>
              </w:rPr>
              <w:t>居民点较分散情况下可多点设置</w:t>
            </w:r>
          </w:p>
        </w:tc>
        <w:tc>
          <w:tcPr>
            <w:tcW w:w="1350" w:type="dxa"/>
          </w:tcPr>
          <w:p w14:paraId="52A8DE57">
            <w:pPr>
              <w:pStyle w:val="44"/>
              <w:ind w:left="110" w:leftChars="50" w:right="110" w:rightChars="50"/>
              <w:rPr>
                <w:rFonts w:hint="eastAsia"/>
                <w:color w:val="auto"/>
                <w:highlight w:val="none"/>
              </w:rPr>
            </w:pPr>
            <w:r>
              <w:rPr>
                <w:color w:val="auto"/>
                <w:highlight w:val="none"/>
              </w:rPr>
              <w:t>宜综合设置</w:t>
            </w:r>
          </w:p>
        </w:tc>
      </w:tr>
      <w:tr w14:paraId="2A0DC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93" w:type="dxa"/>
            <w:vMerge w:val="continue"/>
            <w:tcBorders>
              <w:top w:val="nil"/>
            </w:tcBorders>
          </w:tcPr>
          <w:p w14:paraId="03262FDA">
            <w:pPr>
              <w:ind w:left="110" w:leftChars="50" w:right="110" w:rightChars="50"/>
              <w:jc w:val="center"/>
              <w:rPr>
                <w:rFonts w:hint="eastAsia"/>
                <w:color w:val="auto"/>
                <w:highlight w:val="none"/>
              </w:rPr>
            </w:pPr>
          </w:p>
        </w:tc>
        <w:tc>
          <w:tcPr>
            <w:tcW w:w="1771" w:type="dxa"/>
          </w:tcPr>
          <w:p w14:paraId="6B066A07">
            <w:pPr>
              <w:pStyle w:val="44"/>
              <w:ind w:left="110" w:leftChars="50" w:right="110" w:rightChars="50"/>
              <w:rPr>
                <w:rFonts w:hint="eastAsia"/>
                <w:color w:val="auto"/>
                <w:highlight w:val="none"/>
              </w:rPr>
            </w:pPr>
            <w:r>
              <w:rPr>
                <w:color w:val="auto"/>
                <w:highlight w:val="none"/>
              </w:rPr>
              <w:t>村级幸福院</w:t>
            </w:r>
          </w:p>
        </w:tc>
        <w:tc>
          <w:tcPr>
            <w:tcW w:w="1013" w:type="dxa"/>
          </w:tcPr>
          <w:p w14:paraId="701E7259">
            <w:pPr>
              <w:pStyle w:val="44"/>
              <w:ind w:left="110" w:leftChars="50" w:right="110" w:rightChars="50"/>
              <w:rPr>
                <w:rFonts w:hint="eastAsia"/>
                <w:color w:val="auto"/>
                <w:highlight w:val="none"/>
              </w:rPr>
            </w:pPr>
            <w:r>
              <w:rPr>
                <w:color w:val="auto"/>
                <w:highlight w:val="none"/>
              </w:rPr>
              <w:t>○</w:t>
            </w:r>
          </w:p>
        </w:tc>
        <w:tc>
          <w:tcPr>
            <w:tcW w:w="1000" w:type="dxa"/>
          </w:tcPr>
          <w:p w14:paraId="5B15AF26">
            <w:pPr>
              <w:pStyle w:val="44"/>
              <w:ind w:left="110" w:leftChars="50" w:right="110" w:rightChars="50"/>
              <w:rPr>
                <w:rFonts w:hint="eastAsia"/>
                <w:color w:val="auto"/>
                <w:highlight w:val="none"/>
              </w:rPr>
            </w:pPr>
            <w:r>
              <w:rPr>
                <w:color w:val="auto"/>
                <w:highlight w:val="none"/>
              </w:rPr>
              <w:t>○</w:t>
            </w:r>
          </w:p>
        </w:tc>
        <w:tc>
          <w:tcPr>
            <w:tcW w:w="3906" w:type="dxa"/>
          </w:tcPr>
          <w:p w14:paraId="69ED3785">
            <w:pPr>
              <w:pStyle w:val="44"/>
              <w:ind w:left="110" w:leftChars="50" w:right="110" w:rightChars="50"/>
              <w:rPr>
                <w:rFonts w:hint="eastAsia"/>
                <w:color w:val="auto"/>
                <w:highlight w:val="none"/>
              </w:rPr>
            </w:pPr>
            <w:r>
              <w:rPr>
                <w:color w:val="auto"/>
                <w:highlight w:val="none"/>
              </w:rPr>
              <w:t>—</w:t>
            </w:r>
          </w:p>
        </w:tc>
        <w:tc>
          <w:tcPr>
            <w:tcW w:w="1350" w:type="dxa"/>
          </w:tcPr>
          <w:p w14:paraId="4C77C6AD">
            <w:pPr>
              <w:pStyle w:val="44"/>
              <w:ind w:left="110" w:leftChars="50" w:right="110" w:rightChars="50"/>
              <w:rPr>
                <w:rFonts w:hint="eastAsia"/>
                <w:color w:val="auto"/>
                <w:highlight w:val="none"/>
              </w:rPr>
            </w:pPr>
            <w:r>
              <w:rPr>
                <w:color w:val="auto"/>
                <w:highlight w:val="none"/>
              </w:rPr>
              <w:t>应独立占地</w:t>
            </w:r>
          </w:p>
        </w:tc>
      </w:tr>
      <w:tr w14:paraId="429D4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93" w:type="dxa"/>
            <w:vMerge w:val="continue"/>
            <w:tcBorders>
              <w:top w:val="nil"/>
            </w:tcBorders>
          </w:tcPr>
          <w:p w14:paraId="6CB6C024">
            <w:pPr>
              <w:ind w:left="110" w:leftChars="50" w:right="110" w:rightChars="50"/>
              <w:jc w:val="center"/>
              <w:rPr>
                <w:rFonts w:hint="eastAsia"/>
                <w:color w:val="auto"/>
                <w:highlight w:val="none"/>
              </w:rPr>
            </w:pPr>
          </w:p>
        </w:tc>
        <w:tc>
          <w:tcPr>
            <w:tcW w:w="1771" w:type="dxa"/>
          </w:tcPr>
          <w:p w14:paraId="39F604EA">
            <w:pPr>
              <w:pStyle w:val="44"/>
              <w:ind w:left="110" w:leftChars="50" w:right="110" w:rightChars="50"/>
              <w:rPr>
                <w:rFonts w:hint="eastAsia"/>
                <w:color w:val="auto"/>
                <w:highlight w:val="none"/>
              </w:rPr>
            </w:pPr>
            <w:r>
              <w:rPr>
                <w:color w:val="auto"/>
                <w:highlight w:val="none"/>
              </w:rPr>
              <w:t>老年人日间照料中心</w:t>
            </w:r>
          </w:p>
        </w:tc>
        <w:tc>
          <w:tcPr>
            <w:tcW w:w="1013" w:type="dxa"/>
          </w:tcPr>
          <w:p w14:paraId="2E2744C6">
            <w:pPr>
              <w:pStyle w:val="44"/>
              <w:ind w:left="110" w:leftChars="50" w:right="110" w:rightChars="50"/>
              <w:rPr>
                <w:rFonts w:hint="eastAsia"/>
                <w:color w:val="auto"/>
                <w:highlight w:val="none"/>
              </w:rPr>
            </w:pPr>
            <w:r>
              <w:rPr>
                <w:color w:val="auto"/>
                <w:highlight w:val="none"/>
              </w:rPr>
              <w:t>○</w:t>
            </w:r>
          </w:p>
        </w:tc>
        <w:tc>
          <w:tcPr>
            <w:tcW w:w="1000" w:type="dxa"/>
          </w:tcPr>
          <w:p w14:paraId="33862983">
            <w:pPr>
              <w:pStyle w:val="44"/>
              <w:ind w:left="110" w:leftChars="50" w:right="110" w:rightChars="50"/>
              <w:rPr>
                <w:rFonts w:hint="eastAsia"/>
                <w:color w:val="auto"/>
                <w:highlight w:val="none"/>
              </w:rPr>
            </w:pPr>
            <w:r>
              <w:rPr>
                <w:color w:val="auto"/>
                <w:highlight w:val="none"/>
              </w:rPr>
              <w:t>○</w:t>
            </w:r>
          </w:p>
        </w:tc>
        <w:tc>
          <w:tcPr>
            <w:tcW w:w="3906" w:type="dxa"/>
          </w:tcPr>
          <w:p w14:paraId="3CF3484D">
            <w:pPr>
              <w:pStyle w:val="44"/>
              <w:ind w:left="110" w:leftChars="50" w:right="110" w:rightChars="50"/>
              <w:rPr>
                <w:rFonts w:hint="eastAsia"/>
                <w:color w:val="auto"/>
                <w:highlight w:val="none"/>
              </w:rPr>
            </w:pPr>
            <w:r>
              <w:rPr>
                <w:color w:val="auto"/>
                <w:highlight w:val="none"/>
              </w:rPr>
              <w:t>—</w:t>
            </w:r>
          </w:p>
        </w:tc>
        <w:tc>
          <w:tcPr>
            <w:tcW w:w="1350" w:type="dxa"/>
          </w:tcPr>
          <w:p w14:paraId="5C299746">
            <w:pPr>
              <w:pStyle w:val="44"/>
              <w:ind w:left="110" w:leftChars="50" w:right="110" w:rightChars="50"/>
              <w:rPr>
                <w:rFonts w:hint="eastAsia"/>
                <w:color w:val="auto"/>
                <w:highlight w:val="none"/>
              </w:rPr>
            </w:pPr>
            <w:r>
              <w:rPr>
                <w:color w:val="auto"/>
                <w:highlight w:val="none"/>
              </w:rPr>
              <w:t>宜综合设置</w:t>
            </w:r>
          </w:p>
        </w:tc>
      </w:tr>
    </w:tbl>
    <w:p w14:paraId="26F12C76">
      <w:pPr>
        <w:spacing w:line="360" w:lineRule="auto"/>
        <w:ind w:left="110" w:leftChars="50" w:right="110" w:rightChars="50" w:firstLine="560" w:firstLineChars="200"/>
        <w:rPr>
          <w:rFonts w:hint="eastAsia"/>
          <w:color w:val="auto"/>
          <w:sz w:val="28"/>
          <w:szCs w:val="28"/>
          <w:highlight w:val="none"/>
          <w:lang w:eastAsia="zh-CN"/>
        </w:rPr>
      </w:pPr>
      <w:r>
        <w:rPr>
          <w:color w:val="auto"/>
          <w:sz w:val="28"/>
          <w:szCs w:val="28"/>
          <w:highlight w:val="none"/>
          <w:lang w:eastAsia="zh-CN"/>
        </w:rPr>
        <w:t>注：●表示应建，○表示可建。</w:t>
      </w:r>
    </w:p>
    <w:p w14:paraId="0D4365B0">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第二十</w:t>
      </w:r>
      <w:r>
        <w:rPr>
          <w:rFonts w:hint="eastAsia" w:ascii="微软雅黑" w:hAnsi="微软雅黑" w:eastAsia="微软雅黑"/>
          <w:b/>
          <w:color w:val="auto"/>
          <w:highlight w:val="none"/>
          <w:lang w:val="en-US" w:eastAsia="zh-CN"/>
        </w:rPr>
        <w:t>三</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乡村公共服务设施布局宜注重相邻村庄之间服务要素的错位配置和共享使用，鼓励有条件的村村之间、村镇（乡）之间、村区之间共享公共服务设施</w:t>
      </w:r>
      <w:r>
        <w:rPr>
          <w:color w:val="auto"/>
          <w:spacing w:val="-4"/>
          <w:highlight w:val="none"/>
          <w:lang w:eastAsia="zh-CN"/>
        </w:rPr>
        <w:t>。</w:t>
      </w:r>
    </w:p>
    <w:p w14:paraId="6DA0DAF7">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第二十</w:t>
      </w:r>
      <w:r>
        <w:rPr>
          <w:rFonts w:hint="eastAsia" w:ascii="微软雅黑" w:hAnsi="微软雅黑" w:eastAsia="微软雅黑"/>
          <w:b/>
          <w:color w:val="auto"/>
          <w:highlight w:val="none"/>
          <w:lang w:val="en-US" w:eastAsia="zh-CN"/>
        </w:rPr>
        <w:t>四</w:t>
      </w:r>
      <w:r>
        <w:rPr>
          <w:rFonts w:hint="eastAsia" w:ascii="微软雅黑" w:hAnsi="微软雅黑" w:eastAsia="微软雅黑"/>
          <w:b/>
          <w:color w:val="auto"/>
          <w:highlight w:val="none"/>
          <w:lang w:eastAsia="zh-CN"/>
        </w:rPr>
        <w:t xml:space="preserve">条 </w:t>
      </w:r>
      <w:r>
        <w:rPr>
          <w:rFonts w:hint="eastAsia"/>
          <w:color w:val="auto"/>
          <w:spacing w:val="-16"/>
          <w:highlight w:val="none"/>
          <w:lang w:eastAsia="zh-CN"/>
        </w:rPr>
        <w:t>充分利用现有空间，综合行政管理、治理服务、医疗卫生、文化体育等功能复合设置，选址宜布置在位置适中、内外联系方便的地段，方便村民使用</w:t>
      </w:r>
      <w:r>
        <w:rPr>
          <w:color w:val="auto"/>
          <w:highlight w:val="none"/>
          <w:lang w:eastAsia="zh-CN"/>
        </w:rPr>
        <w:t>。</w:t>
      </w:r>
    </w:p>
    <w:p w14:paraId="4EFD2141">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第二十</w:t>
      </w:r>
      <w:r>
        <w:rPr>
          <w:rFonts w:hint="eastAsia" w:ascii="微软雅黑" w:hAnsi="微软雅黑" w:eastAsia="微软雅黑"/>
          <w:b/>
          <w:color w:val="auto"/>
          <w:highlight w:val="none"/>
          <w:lang w:val="en-US" w:eastAsia="zh-CN"/>
        </w:rPr>
        <w:t>五</w:t>
      </w:r>
      <w:r>
        <w:rPr>
          <w:rFonts w:hint="eastAsia" w:ascii="微软雅黑" w:hAnsi="微软雅黑" w:eastAsia="微软雅黑"/>
          <w:b/>
          <w:color w:val="auto"/>
          <w:highlight w:val="none"/>
          <w:lang w:eastAsia="zh-CN"/>
        </w:rPr>
        <w:t xml:space="preserve">条 </w:t>
      </w:r>
      <w:r>
        <w:rPr>
          <w:rFonts w:hint="eastAsia"/>
          <w:color w:val="auto"/>
          <w:spacing w:val="-15"/>
          <w:highlight w:val="none"/>
          <w:lang w:eastAsia="zh-CN"/>
        </w:rPr>
        <w:t>鼓励和支持农村集体经济组织、村民委员会、村民小组和其他组织建设养老服务设施，因地制宜为农村老年人提供互助养老、日间照料、托养居住、配餐送餐等多样化养老服务</w:t>
      </w:r>
      <w:r>
        <w:rPr>
          <w:color w:val="auto"/>
          <w:highlight w:val="none"/>
          <w:lang w:eastAsia="zh-CN"/>
        </w:rPr>
        <w:t>。</w:t>
      </w:r>
    </w:p>
    <w:p w14:paraId="5FF18743">
      <w:pPr>
        <w:pStyle w:val="11"/>
        <w:spacing w:line="360" w:lineRule="auto"/>
        <w:ind w:left="110" w:leftChars="50" w:right="110" w:rightChars="50" w:firstLine="560" w:firstLineChars="200"/>
        <w:rPr>
          <w:color w:val="auto"/>
          <w:spacing w:val="-3"/>
          <w:highlight w:val="none"/>
          <w:lang w:eastAsia="zh-CN"/>
        </w:rPr>
      </w:pPr>
      <w:r>
        <w:rPr>
          <w:rFonts w:hint="eastAsia" w:ascii="微软雅黑" w:hAnsi="微软雅黑" w:eastAsia="微软雅黑"/>
          <w:b/>
          <w:color w:val="auto"/>
          <w:highlight w:val="none"/>
          <w:lang w:eastAsia="zh-CN"/>
        </w:rPr>
        <w:t>第二十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 xml:space="preserve">条 </w:t>
      </w:r>
      <w:r>
        <w:rPr>
          <w:rFonts w:hint="eastAsia"/>
          <w:color w:val="auto"/>
          <w:spacing w:val="-15"/>
          <w:highlight w:val="none"/>
          <w:lang w:eastAsia="zh-CN"/>
        </w:rPr>
        <w:t>宜优化农村学前教育布局，大村独立办园，小村联合办园，在村级幼儿园难以覆盖的偏远山村，可设置公办幼儿园分园</w:t>
      </w:r>
      <w:r>
        <w:rPr>
          <w:color w:val="auto"/>
          <w:spacing w:val="-3"/>
          <w:highlight w:val="none"/>
          <w:lang w:eastAsia="zh-CN"/>
        </w:rPr>
        <w:t>。</w:t>
      </w:r>
    </w:p>
    <w:p w14:paraId="4FDF0E93">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3" w:name="_bookmark13"/>
      <w:bookmarkEnd w:id="23"/>
      <w:r>
        <w:rPr>
          <w:rFonts w:ascii="微软雅黑" w:hAnsi="微软雅黑" w:eastAsia="微软雅黑" w:cs="微软雅黑"/>
          <w:b/>
          <w:bCs/>
          <w:color w:val="auto"/>
          <w:sz w:val="30"/>
          <w:szCs w:val="30"/>
          <w:highlight w:val="none"/>
          <w:lang w:eastAsia="zh-CN"/>
        </w:rPr>
        <w:t>第四节 市政公用设施用地布局</w:t>
      </w:r>
    </w:p>
    <w:p w14:paraId="3B3EF332">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条</w:t>
      </w:r>
      <w:r>
        <w:rPr>
          <w:rFonts w:hint="eastAsia"/>
          <w:b/>
          <w:color w:val="auto"/>
          <w:spacing w:val="6"/>
          <w:highlight w:val="none"/>
          <w:lang w:eastAsia="zh-CN"/>
        </w:rPr>
        <w:t xml:space="preserve"> </w:t>
      </w:r>
      <w:r>
        <w:rPr>
          <w:rFonts w:hint="eastAsia"/>
          <w:color w:val="auto"/>
          <w:highlight w:val="none"/>
          <w:lang w:eastAsia="zh-CN"/>
        </w:rPr>
        <w:t>综合考虑乡村自然条件、人口分布与需求以及现状市政公用设施的建设状况，按照村委所在自然村和非村委所在自然村两个层级合理配置市政公用设施，并根据服务功能进行布局，配置标准宜参照下表执行</w:t>
      </w:r>
      <w:r>
        <w:rPr>
          <w:color w:val="auto"/>
          <w:spacing w:val="-3"/>
          <w:highlight w:val="none"/>
          <w:lang w:eastAsia="zh-CN"/>
        </w:rPr>
        <w:t>。</w:t>
      </w:r>
    </w:p>
    <w:p w14:paraId="79049E2D">
      <w:pPr>
        <w:spacing w:line="360" w:lineRule="auto"/>
        <w:ind w:left="110" w:leftChars="50" w:right="110" w:rightChars="50" w:firstLine="560" w:firstLineChars="200"/>
        <w:jc w:val="center"/>
        <w:rPr>
          <w:rFonts w:hint="eastAsia"/>
          <w:color w:val="auto"/>
          <w:sz w:val="28"/>
          <w:szCs w:val="28"/>
          <w:highlight w:val="none"/>
          <w:lang w:eastAsia="zh-CN"/>
        </w:rPr>
      </w:pPr>
      <w:r>
        <w:rPr>
          <w:rFonts w:hint="eastAsia"/>
          <w:color w:val="auto"/>
          <w:sz w:val="28"/>
          <w:szCs w:val="28"/>
          <w:highlight w:val="none"/>
          <w:lang w:eastAsia="zh-CN"/>
        </w:rPr>
        <w:t xml:space="preserve">表 </w:t>
      </w:r>
      <w:r>
        <w:rPr>
          <w:color w:val="auto"/>
          <w:sz w:val="28"/>
          <w:szCs w:val="28"/>
          <w:highlight w:val="none"/>
          <w:lang w:eastAsia="zh-CN"/>
        </w:rPr>
        <w:t xml:space="preserve">4-2  </w:t>
      </w:r>
      <w:r>
        <w:rPr>
          <w:rFonts w:hint="eastAsia"/>
          <w:color w:val="auto"/>
          <w:sz w:val="28"/>
          <w:szCs w:val="28"/>
          <w:highlight w:val="none"/>
          <w:lang w:eastAsia="zh-CN"/>
        </w:rPr>
        <w:t>乡村市政公用设施配置表</w:t>
      </w: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2"/>
        <w:gridCol w:w="3118"/>
        <w:gridCol w:w="1913"/>
        <w:gridCol w:w="1915"/>
        <w:gridCol w:w="1520"/>
      </w:tblGrid>
      <w:tr w14:paraId="05FD5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272" w:type="dxa"/>
            <w:vMerge w:val="restart"/>
          </w:tcPr>
          <w:p w14:paraId="41351C75">
            <w:pPr>
              <w:pStyle w:val="44"/>
              <w:ind w:left="110" w:leftChars="50" w:right="110" w:rightChars="50"/>
              <w:rPr>
                <w:rFonts w:hint="eastAsia"/>
                <w:color w:val="auto"/>
                <w:highlight w:val="none"/>
              </w:rPr>
            </w:pPr>
            <w:r>
              <w:rPr>
                <w:color w:val="auto"/>
                <w:highlight w:val="none"/>
              </w:rPr>
              <w:t>分类</w:t>
            </w:r>
          </w:p>
        </w:tc>
        <w:tc>
          <w:tcPr>
            <w:tcW w:w="3118" w:type="dxa"/>
            <w:vMerge w:val="restart"/>
          </w:tcPr>
          <w:p w14:paraId="2D9194F0">
            <w:pPr>
              <w:pStyle w:val="44"/>
              <w:ind w:left="110" w:leftChars="50" w:right="110" w:rightChars="50"/>
              <w:rPr>
                <w:rFonts w:hint="eastAsia"/>
                <w:color w:val="auto"/>
                <w:highlight w:val="none"/>
              </w:rPr>
            </w:pPr>
            <w:r>
              <w:rPr>
                <w:color w:val="auto"/>
                <w:highlight w:val="none"/>
              </w:rPr>
              <w:t>设施名称</w:t>
            </w:r>
          </w:p>
        </w:tc>
        <w:tc>
          <w:tcPr>
            <w:tcW w:w="3828" w:type="dxa"/>
            <w:gridSpan w:val="2"/>
          </w:tcPr>
          <w:p w14:paraId="450B8C43">
            <w:pPr>
              <w:pStyle w:val="44"/>
              <w:ind w:left="110" w:leftChars="50" w:right="110" w:rightChars="50"/>
              <w:rPr>
                <w:rFonts w:hint="eastAsia"/>
                <w:color w:val="auto"/>
                <w:highlight w:val="none"/>
              </w:rPr>
            </w:pPr>
            <w:r>
              <w:rPr>
                <w:color w:val="auto"/>
                <w:highlight w:val="none"/>
              </w:rPr>
              <w:t>圈层划分</w:t>
            </w:r>
          </w:p>
        </w:tc>
        <w:tc>
          <w:tcPr>
            <w:tcW w:w="1520" w:type="dxa"/>
            <w:vMerge w:val="restart"/>
          </w:tcPr>
          <w:p w14:paraId="6710AE58">
            <w:pPr>
              <w:pStyle w:val="44"/>
              <w:ind w:left="110" w:leftChars="50" w:right="110" w:rightChars="50"/>
              <w:rPr>
                <w:rFonts w:hint="eastAsia"/>
                <w:color w:val="auto"/>
                <w:highlight w:val="none"/>
              </w:rPr>
            </w:pPr>
            <w:r>
              <w:rPr>
                <w:color w:val="auto"/>
                <w:highlight w:val="none"/>
              </w:rPr>
              <w:t>配置指标</w:t>
            </w:r>
          </w:p>
        </w:tc>
      </w:tr>
      <w:tr w14:paraId="1451C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272" w:type="dxa"/>
            <w:vMerge w:val="continue"/>
            <w:tcBorders>
              <w:top w:val="nil"/>
            </w:tcBorders>
          </w:tcPr>
          <w:p w14:paraId="62B8F503">
            <w:pPr>
              <w:pStyle w:val="44"/>
              <w:ind w:left="110" w:leftChars="50" w:right="110" w:rightChars="50"/>
              <w:rPr>
                <w:rFonts w:hint="eastAsia"/>
                <w:color w:val="auto"/>
                <w:highlight w:val="none"/>
              </w:rPr>
            </w:pPr>
          </w:p>
        </w:tc>
        <w:tc>
          <w:tcPr>
            <w:tcW w:w="3118" w:type="dxa"/>
            <w:vMerge w:val="continue"/>
            <w:tcBorders>
              <w:top w:val="nil"/>
            </w:tcBorders>
          </w:tcPr>
          <w:p w14:paraId="6C9C5C3D">
            <w:pPr>
              <w:pStyle w:val="44"/>
              <w:ind w:left="110" w:leftChars="50" w:right="110" w:rightChars="50"/>
              <w:rPr>
                <w:rFonts w:hint="eastAsia"/>
                <w:color w:val="auto"/>
                <w:highlight w:val="none"/>
              </w:rPr>
            </w:pPr>
          </w:p>
        </w:tc>
        <w:tc>
          <w:tcPr>
            <w:tcW w:w="1913" w:type="dxa"/>
          </w:tcPr>
          <w:p w14:paraId="458B7C6E">
            <w:pPr>
              <w:pStyle w:val="44"/>
              <w:ind w:left="110" w:leftChars="50" w:right="110" w:rightChars="50"/>
              <w:rPr>
                <w:rFonts w:hint="eastAsia"/>
                <w:color w:val="auto"/>
                <w:highlight w:val="none"/>
              </w:rPr>
            </w:pPr>
            <w:r>
              <w:rPr>
                <w:color w:val="auto"/>
                <w:highlight w:val="none"/>
              </w:rPr>
              <w:t>村委所在自然村</w:t>
            </w:r>
          </w:p>
        </w:tc>
        <w:tc>
          <w:tcPr>
            <w:tcW w:w="1915" w:type="dxa"/>
          </w:tcPr>
          <w:p w14:paraId="133173F0">
            <w:pPr>
              <w:pStyle w:val="44"/>
              <w:ind w:left="110" w:leftChars="50" w:right="110" w:rightChars="50"/>
              <w:rPr>
                <w:rFonts w:hint="eastAsia"/>
                <w:color w:val="auto"/>
                <w:highlight w:val="none"/>
              </w:rPr>
            </w:pPr>
            <w:r>
              <w:rPr>
                <w:color w:val="auto"/>
                <w:highlight w:val="none"/>
              </w:rPr>
              <w:t>非村委所在自然村</w:t>
            </w:r>
          </w:p>
        </w:tc>
        <w:tc>
          <w:tcPr>
            <w:tcW w:w="1520" w:type="dxa"/>
            <w:vMerge w:val="continue"/>
            <w:tcBorders>
              <w:top w:val="nil"/>
            </w:tcBorders>
          </w:tcPr>
          <w:p w14:paraId="6B3967D8">
            <w:pPr>
              <w:pStyle w:val="44"/>
              <w:ind w:left="110" w:leftChars="50" w:right="110" w:rightChars="50"/>
              <w:rPr>
                <w:rFonts w:hint="eastAsia"/>
                <w:color w:val="auto"/>
                <w:highlight w:val="none"/>
              </w:rPr>
            </w:pPr>
          </w:p>
        </w:tc>
      </w:tr>
      <w:tr w14:paraId="59FF1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2" w:type="dxa"/>
            <w:vMerge w:val="restart"/>
          </w:tcPr>
          <w:p w14:paraId="20A71DC0">
            <w:pPr>
              <w:pStyle w:val="44"/>
              <w:ind w:left="110" w:leftChars="50" w:right="110" w:rightChars="50"/>
              <w:rPr>
                <w:rFonts w:hint="eastAsia"/>
                <w:color w:val="auto"/>
                <w:highlight w:val="none"/>
              </w:rPr>
            </w:pPr>
          </w:p>
          <w:p w14:paraId="462D193B">
            <w:pPr>
              <w:pStyle w:val="44"/>
              <w:ind w:left="110" w:leftChars="50" w:right="110" w:rightChars="50"/>
              <w:rPr>
                <w:rFonts w:hint="eastAsia"/>
                <w:color w:val="auto"/>
                <w:highlight w:val="none"/>
              </w:rPr>
            </w:pPr>
          </w:p>
          <w:p w14:paraId="4B2DB50A">
            <w:pPr>
              <w:pStyle w:val="44"/>
              <w:ind w:left="110" w:leftChars="50" w:right="110" w:rightChars="50"/>
              <w:rPr>
                <w:rFonts w:hint="eastAsia"/>
                <w:color w:val="auto"/>
                <w:highlight w:val="none"/>
              </w:rPr>
            </w:pPr>
          </w:p>
          <w:p w14:paraId="33871AD9">
            <w:pPr>
              <w:pStyle w:val="44"/>
              <w:ind w:left="110" w:leftChars="50" w:right="110" w:rightChars="50"/>
              <w:rPr>
                <w:rFonts w:hint="eastAsia"/>
                <w:color w:val="auto"/>
                <w:highlight w:val="none"/>
              </w:rPr>
            </w:pPr>
          </w:p>
          <w:p w14:paraId="611DC4FB">
            <w:pPr>
              <w:pStyle w:val="44"/>
              <w:ind w:left="110" w:leftChars="50" w:right="110" w:rightChars="50"/>
              <w:rPr>
                <w:rFonts w:hint="eastAsia"/>
                <w:color w:val="auto"/>
                <w:highlight w:val="none"/>
              </w:rPr>
            </w:pPr>
          </w:p>
          <w:p w14:paraId="4E1ABC55">
            <w:pPr>
              <w:pStyle w:val="44"/>
              <w:ind w:left="110" w:leftChars="50" w:right="110" w:rightChars="50"/>
              <w:rPr>
                <w:rFonts w:hint="eastAsia"/>
                <w:color w:val="auto"/>
                <w:highlight w:val="none"/>
              </w:rPr>
            </w:pPr>
            <w:r>
              <w:rPr>
                <w:color w:val="auto"/>
                <w:highlight w:val="none"/>
              </w:rPr>
              <w:t>市政公用设施</w:t>
            </w:r>
          </w:p>
        </w:tc>
        <w:tc>
          <w:tcPr>
            <w:tcW w:w="3118" w:type="dxa"/>
          </w:tcPr>
          <w:p w14:paraId="72B7D8F9">
            <w:pPr>
              <w:pStyle w:val="44"/>
              <w:ind w:left="110" w:leftChars="50" w:right="110" w:rightChars="50"/>
              <w:rPr>
                <w:rFonts w:hint="eastAsia"/>
                <w:color w:val="auto"/>
                <w:highlight w:val="none"/>
              </w:rPr>
            </w:pPr>
            <w:r>
              <w:rPr>
                <w:color w:val="auto"/>
                <w:highlight w:val="none"/>
              </w:rPr>
              <w:t>给水设施</w:t>
            </w:r>
          </w:p>
        </w:tc>
        <w:tc>
          <w:tcPr>
            <w:tcW w:w="1913" w:type="dxa"/>
          </w:tcPr>
          <w:p w14:paraId="120BCF55">
            <w:pPr>
              <w:pStyle w:val="44"/>
              <w:ind w:left="110" w:leftChars="50" w:right="110" w:rightChars="50"/>
              <w:rPr>
                <w:rFonts w:hint="eastAsia"/>
                <w:color w:val="auto"/>
                <w:highlight w:val="none"/>
              </w:rPr>
            </w:pPr>
            <w:r>
              <w:rPr>
                <w:color w:val="auto"/>
                <w:highlight w:val="none"/>
              </w:rPr>
              <w:t>●</w:t>
            </w:r>
          </w:p>
        </w:tc>
        <w:tc>
          <w:tcPr>
            <w:tcW w:w="1915" w:type="dxa"/>
          </w:tcPr>
          <w:p w14:paraId="6A1DA18E">
            <w:pPr>
              <w:pStyle w:val="44"/>
              <w:ind w:left="110" w:leftChars="50" w:right="110" w:rightChars="50"/>
              <w:rPr>
                <w:rFonts w:hint="eastAsia"/>
                <w:color w:val="auto"/>
                <w:highlight w:val="none"/>
              </w:rPr>
            </w:pPr>
            <w:r>
              <w:rPr>
                <w:color w:val="auto"/>
                <w:highlight w:val="none"/>
              </w:rPr>
              <w:t>●</w:t>
            </w:r>
          </w:p>
        </w:tc>
        <w:tc>
          <w:tcPr>
            <w:tcW w:w="1520" w:type="dxa"/>
          </w:tcPr>
          <w:p w14:paraId="0DCBAED6">
            <w:pPr>
              <w:pStyle w:val="44"/>
              <w:ind w:left="110" w:leftChars="50" w:right="110" w:rightChars="50"/>
              <w:rPr>
                <w:rFonts w:hint="eastAsia"/>
                <w:color w:val="auto"/>
                <w:highlight w:val="none"/>
              </w:rPr>
            </w:pPr>
            <w:r>
              <w:rPr>
                <w:color w:val="auto"/>
                <w:highlight w:val="none"/>
              </w:rPr>
              <w:t>宜独立占地</w:t>
            </w:r>
          </w:p>
        </w:tc>
      </w:tr>
      <w:tr w14:paraId="3370B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272" w:type="dxa"/>
            <w:vMerge w:val="continue"/>
            <w:tcBorders>
              <w:top w:val="nil"/>
            </w:tcBorders>
          </w:tcPr>
          <w:p w14:paraId="2939FF83">
            <w:pPr>
              <w:pStyle w:val="44"/>
              <w:ind w:left="110" w:leftChars="50" w:right="110" w:rightChars="50"/>
              <w:rPr>
                <w:rFonts w:hint="eastAsia"/>
                <w:color w:val="auto"/>
                <w:highlight w:val="none"/>
              </w:rPr>
            </w:pPr>
          </w:p>
        </w:tc>
        <w:tc>
          <w:tcPr>
            <w:tcW w:w="3118" w:type="dxa"/>
          </w:tcPr>
          <w:p w14:paraId="310C1823">
            <w:pPr>
              <w:pStyle w:val="44"/>
              <w:ind w:left="110" w:leftChars="50" w:right="110" w:rightChars="50"/>
              <w:rPr>
                <w:rFonts w:hint="eastAsia"/>
                <w:color w:val="auto"/>
                <w:highlight w:val="none"/>
              </w:rPr>
            </w:pPr>
            <w:r>
              <w:rPr>
                <w:color w:val="auto"/>
                <w:highlight w:val="none"/>
              </w:rPr>
              <w:t>污水处理设施</w:t>
            </w:r>
          </w:p>
        </w:tc>
        <w:tc>
          <w:tcPr>
            <w:tcW w:w="1913" w:type="dxa"/>
          </w:tcPr>
          <w:p w14:paraId="3806BE7F">
            <w:pPr>
              <w:pStyle w:val="44"/>
              <w:ind w:left="110" w:leftChars="50" w:right="110" w:rightChars="50"/>
              <w:rPr>
                <w:rFonts w:hint="eastAsia"/>
                <w:color w:val="auto"/>
                <w:highlight w:val="none"/>
              </w:rPr>
            </w:pPr>
            <w:r>
              <w:rPr>
                <w:color w:val="auto"/>
                <w:highlight w:val="none"/>
              </w:rPr>
              <w:t>●</w:t>
            </w:r>
          </w:p>
        </w:tc>
        <w:tc>
          <w:tcPr>
            <w:tcW w:w="1915" w:type="dxa"/>
          </w:tcPr>
          <w:p w14:paraId="75C6E86C">
            <w:pPr>
              <w:pStyle w:val="44"/>
              <w:ind w:left="110" w:leftChars="50" w:right="110" w:rightChars="50"/>
              <w:rPr>
                <w:rFonts w:hint="eastAsia"/>
                <w:color w:val="auto"/>
                <w:highlight w:val="none"/>
              </w:rPr>
            </w:pPr>
            <w:r>
              <w:rPr>
                <w:color w:val="auto"/>
                <w:highlight w:val="none"/>
              </w:rPr>
              <w:t>●</w:t>
            </w:r>
          </w:p>
        </w:tc>
        <w:tc>
          <w:tcPr>
            <w:tcW w:w="1520" w:type="dxa"/>
          </w:tcPr>
          <w:p w14:paraId="6ACF72B7">
            <w:pPr>
              <w:pStyle w:val="44"/>
              <w:ind w:left="110" w:leftChars="50" w:right="110" w:rightChars="50"/>
              <w:rPr>
                <w:rFonts w:hint="eastAsia"/>
                <w:color w:val="auto"/>
                <w:highlight w:val="none"/>
              </w:rPr>
            </w:pPr>
            <w:r>
              <w:rPr>
                <w:color w:val="auto"/>
                <w:highlight w:val="none"/>
              </w:rPr>
              <w:t>宜独立占地</w:t>
            </w:r>
          </w:p>
        </w:tc>
      </w:tr>
      <w:tr w14:paraId="1A5B3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2" w:type="dxa"/>
            <w:vMerge w:val="continue"/>
            <w:tcBorders>
              <w:top w:val="nil"/>
            </w:tcBorders>
          </w:tcPr>
          <w:p w14:paraId="0722F4C7">
            <w:pPr>
              <w:pStyle w:val="44"/>
              <w:ind w:left="110" w:leftChars="50" w:right="110" w:rightChars="50"/>
              <w:rPr>
                <w:rFonts w:hint="eastAsia"/>
                <w:color w:val="auto"/>
                <w:highlight w:val="none"/>
              </w:rPr>
            </w:pPr>
          </w:p>
        </w:tc>
        <w:tc>
          <w:tcPr>
            <w:tcW w:w="3118" w:type="dxa"/>
          </w:tcPr>
          <w:p w14:paraId="631533E2">
            <w:pPr>
              <w:pStyle w:val="44"/>
              <w:ind w:left="110" w:leftChars="50" w:right="110" w:rightChars="50"/>
              <w:rPr>
                <w:rFonts w:hint="eastAsia"/>
                <w:color w:val="auto"/>
                <w:highlight w:val="none"/>
              </w:rPr>
            </w:pPr>
            <w:r>
              <w:rPr>
                <w:color w:val="auto"/>
                <w:highlight w:val="none"/>
              </w:rPr>
              <w:t>供电设施</w:t>
            </w:r>
          </w:p>
        </w:tc>
        <w:tc>
          <w:tcPr>
            <w:tcW w:w="1913" w:type="dxa"/>
          </w:tcPr>
          <w:p w14:paraId="3F744AC8">
            <w:pPr>
              <w:pStyle w:val="44"/>
              <w:ind w:left="110" w:leftChars="50" w:right="110" w:rightChars="50"/>
              <w:rPr>
                <w:rFonts w:hint="eastAsia"/>
                <w:color w:val="auto"/>
                <w:highlight w:val="none"/>
              </w:rPr>
            </w:pPr>
            <w:r>
              <w:rPr>
                <w:color w:val="auto"/>
                <w:highlight w:val="none"/>
              </w:rPr>
              <w:t>●</w:t>
            </w:r>
          </w:p>
        </w:tc>
        <w:tc>
          <w:tcPr>
            <w:tcW w:w="1915" w:type="dxa"/>
          </w:tcPr>
          <w:p w14:paraId="6B65A0C9">
            <w:pPr>
              <w:pStyle w:val="44"/>
              <w:ind w:left="110" w:leftChars="50" w:right="110" w:rightChars="50"/>
              <w:rPr>
                <w:rFonts w:hint="eastAsia"/>
                <w:color w:val="auto"/>
                <w:highlight w:val="none"/>
              </w:rPr>
            </w:pPr>
            <w:r>
              <w:rPr>
                <w:color w:val="auto"/>
                <w:highlight w:val="none"/>
              </w:rPr>
              <w:t>●</w:t>
            </w:r>
          </w:p>
        </w:tc>
        <w:tc>
          <w:tcPr>
            <w:tcW w:w="1520" w:type="dxa"/>
          </w:tcPr>
          <w:p w14:paraId="34D63FD3">
            <w:pPr>
              <w:pStyle w:val="44"/>
              <w:ind w:left="110" w:leftChars="50" w:right="110" w:rightChars="50"/>
              <w:rPr>
                <w:rFonts w:hint="eastAsia"/>
                <w:color w:val="auto"/>
                <w:highlight w:val="none"/>
              </w:rPr>
            </w:pPr>
            <w:r>
              <w:rPr>
                <w:color w:val="auto"/>
                <w:highlight w:val="none"/>
              </w:rPr>
              <w:t>宜独立占地</w:t>
            </w:r>
          </w:p>
        </w:tc>
      </w:tr>
      <w:tr w14:paraId="5E181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2" w:type="dxa"/>
            <w:vMerge w:val="continue"/>
            <w:tcBorders>
              <w:top w:val="nil"/>
            </w:tcBorders>
          </w:tcPr>
          <w:p w14:paraId="397674A0">
            <w:pPr>
              <w:pStyle w:val="44"/>
              <w:ind w:left="110" w:leftChars="50" w:right="110" w:rightChars="50"/>
              <w:rPr>
                <w:rFonts w:hint="eastAsia"/>
                <w:color w:val="auto"/>
                <w:highlight w:val="none"/>
              </w:rPr>
            </w:pPr>
          </w:p>
        </w:tc>
        <w:tc>
          <w:tcPr>
            <w:tcW w:w="3118" w:type="dxa"/>
          </w:tcPr>
          <w:p w14:paraId="1064EB3B">
            <w:pPr>
              <w:pStyle w:val="44"/>
              <w:ind w:left="110" w:leftChars="50" w:right="110" w:rightChars="50"/>
              <w:rPr>
                <w:rFonts w:hint="eastAsia"/>
                <w:color w:val="auto"/>
                <w:highlight w:val="none"/>
              </w:rPr>
            </w:pPr>
            <w:r>
              <w:rPr>
                <w:color w:val="auto"/>
                <w:highlight w:val="none"/>
              </w:rPr>
              <w:t>电信设施</w:t>
            </w:r>
          </w:p>
        </w:tc>
        <w:tc>
          <w:tcPr>
            <w:tcW w:w="1913" w:type="dxa"/>
          </w:tcPr>
          <w:p w14:paraId="0AA0E664">
            <w:pPr>
              <w:pStyle w:val="44"/>
              <w:ind w:left="110" w:leftChars="50" w:right="110" w:rightChars="50"/>
              <w:rPr>
                <w:rFonts w:hint="eastAsia"/>
                <w:color w:val="auto"/>
                <w:highlight w:val="none"/>
              </w:rPr>
            </w:pPr>
            <w:r>
              <w:rPr>
                <w:color w:val="auto"/>
                <w:highlight w:val="none"/>
              </w:rPr>
              <w:t>●</w:t>
            </w:r>
          </w:p>
        </w:tc>
        <w:tc>
          <w:tcPr>
            <w:tcW w:w="1915" w:type="dxa"/>
          </w:tcPr>
          <w:p w14:paraId="59B34765">
            <w:pPr>
              <w:pStyle w:val="44"/>
              <w:ind w:left="110" w:leftChars="50" w:right="110" w:rightChars="50"/>
              <w:rPr>
                <w:rFonts w:hint="eastAsia"/>
                <w:color w:val="auto"/>
                <w:highlight w:val="none"/>
              </w:rPr>
            </w:pPr>
            <w:r>
              <w:rPr>
                <w:color w:val="auto"/>
                <w:highlight w:val="none"/>
              </w:rPr>
              <w:t>●</w:t>
            </w:r>
          </w:p>
        </w:tc>
        <w:tc>
          <w:tcPr>
            <w:tcW w:w="1520" w:type="dxa"/>
          </w:tcPr>
          <w:p w14:paraId="4DC6C8F4">
            <w:pPr>
              <w:pStyle w:val="44"/>
              <w:ind w:left="110" w:leftChars="50" w:right="110" w:rightChars="50"/>
              <w:rPr>
                <w:rFonts w:hint="eastAsia"/>
                <w:color w:val="auto"/>
                <w:highlight w:val="none"/>
              </w:rPr>
            </w:pPr>
            <w:r>
              <w:rPr>
                <w:color w:val="auto"/>
                <w:highlight w:val="none"/>
              </w:rPr>
              <w:t>宜独立占地</w:t>
            </w:r>
          </w:p>
        </w:tc>
      </w:tr>
      <w:tr w14:paraId="30FB5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272" w:type="dxa"/>
            <w:vMerge w:val="continue"/>
            <w:tcBorders>
              <w:top w:val="nil"/>
            </w:tcBorders>
          </w:tcPr>
          <w:p w14:paraId="5DE87A94">
            <w:pPr>
              <w:pStyle w:val="44"/>
              <w:ind w:left="110" w:leftChars="50" w:right="110" w:rightChars="50"/>
              <w:rPr>
                <w:rFonts w:hint="eastAsia"/>
                <w:color w:val="auto"/>
                <w:highlight w:val="none"/>
              </w:rPr>
            </w:pPr>
          </w:p>
        </w:tc>
        <w:tc>
          <w:tcPr>
            <w:tcW w:w="3118" w:type="dxa"/>
          </w:tcPr>
          <w:p w14:paraId="3AB3551C">
            <w:pPr>
              <w:pStyle w:val="44"/>
              <w:ind w:left="110" w:leftChars="50" w:right="110" w:rightChars="50"/>
              <w:rPr>
                <w:rFonts w:hint="eastAsia"/>
                <w:color w:val="auto"/>
                <w:highlight w:val="none"/>
              </w:rPr>
            </w:pPr>
            <w:r>
              <w:rPr>
                <w:color w:val="auto"/>
                <w:highlight w:val="none"/>
              </w:rPr>
              <w:t>垃圾收集点</w:t>
            </w:r>
          </w:p>
        </w:tc>
        <w:tc>
          <w:tcPr>
            <w:tcW w:w="1913" w:type="dxa"/>
          </w:tcPr>
          <w:p w14:paraId="0CD4E8BE">
            <w:pPr>
              <w:pStyle w:val="44"/>
              <w:ind w:left="110" w:leftChars="50" w:right="110" w:rightChars="50"/>
              <w:rPr>
                <w:rFonts w:hint="eastAsia"/>
                <w:color w:val="auto"/>
                <w:highlight w:val="none"/>
              </w:rPr>
            </w:pPr>
            <w:r>
              <w:rPr>
                <w:color w:val="auto"/>
                <w:highlight w:val="none"/>
              </w:rPr>
              <w:t>●</w:t>
            </w:r>
          </w:p>
        </w:tc>
        <w:tc>
          <w:tcPr>
            <w:tcW w:w="1915" w:type="dxa"/>
          </w:tcPr>
          <w:p w14:paraId="5EF18522">
            <w:pPr>
              <w:pStyle w:val="44"/>
              <w:ind w:left="110" w:leftChars="50" w:right="110" w:rightChars="50"/>
              <w:rPr>
                <w:rFonts w:hint="eastAsia"/>
                <w:color w:val="auto"/>
                <w:highlight w:val="none"/>
              </w:rPr>
            </w:pPr>
            <w:r>
              <w:rPr>
                <w:color w:val="auto"/>
                <w:highlight w:val="none"/>
              </w:rPr>
              <w:t>●</w:t>
            </w:r>
          </w:p>
        </w:tc>
        <w:tc>
          <w:tcPr>
            <w:tcW w:w="1520" w:type="dxa"/>
          </w:tcPr>
          <w:p w14:paraId="728D4775">
            <w:pPr>
              <w:pStyle w:val="44"/>
              <w:ind w:left="110" w:leftChars="50" w:right="110" w:rightChars="50"/>
              <w:rPr>
                <w:rFonts w:hint="eastAsia"/>
                <w:color w:val="auto"/>
                <w:highlight w:val="none"/>
              </w:rPr>
            </w:pPr>
            <w:r>
              <w:rPr>
                <w:color w:val="auto"/>
                <w:highlight w:val="none"/>
              </w:rPr>
              <w:t>宜独立占地</w:t>
            </w:r>
          </w:p>
        </w:tc>
      </w:tr>
      <w:tr w14:paraId="47A69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2" w:type="dxa"/>
            <w:vMerge w:val="continue"/>
            <w:tcBorders>
              <w:top w:val="nil"/>
            </w:tcBorders>
          </w:tcPr>
          <w:p w14:paraId="35960F31">
            <w:pPr>
              <w:pStyle w:val="44"/>
              <w:ind w:left="110" w:leftChars="50" w:right="110" w:rightChars="50"/>
              <w:rPr>
                <w:rFonts w:hint="eastAsia"/>
                <w:color w:val="auto"/>
                <w:highlight w:val="none"/>
              </w:rPr>
            </w:pPr>
          </w:p>
        </w:tc>
        <w:tc>
          <w:tcPr>
            <w:tcW w:w="3118" w:type="dxa"/>
          </w:tcPr>
          <w:p w14:paraId="58D18EFC">
            <w:pPr>
              <w:pStyle w:val="44"/>
              <w:ind w:left="110" w:leftChars="50" w:right="110" w:rightChars="50"/>
              <w:rPr>
                <w:rFonts w:hint="eastAsia"/>
                <w:color w:val="auto"/>
                <w:highlight w:val="none"/>
              </w:rPr>
            </w:pPr>
            <w:r>
              <w:rPr>
                <w:color w:val="auto"/>
                <w:highlight w:val="none"/>
              </w:rPr>
              <w:t>公共厕所</w:t>
            </w:r>
          </w:p>
        </w:tc>
        <w:tc>
          <w:tcPr>
            <w:tcW w:w="1913" w:type="dxa"/>
          </w:tcPr>
          <w:p w14:paraId="7A673E9F">
            <w:pPr>
              <w:pStyle w:val="44"/>
              <w:ind w:left="110" w:leftChars="50" w:right="110" w:rightChars="50"/>
              <w:rPr>
                <w:rFonts w:hint="eastAsia"/>
                <w:color w:val="auto"/>
                <w:highlight w:val="none"/>
              </w:rPr>
            </w:pPr>
            <w:r>
              <w:rPr>
                <w:color w:val="auto"/>
                <w:highlight w:val="none"/>
              </w:rPr>
              <w:t>●</w:t>
            </w:r>
          </w:p>
        </w:tc>
        <w:tc>
          <w:tcPr>
            <w:tcW w:w="1915" w:type="dxa"/>
          </w:tcPr>
          <w:p w14:paraId="65DA5B3C">
            <w:pPr>
              <w:pStyle w:val="44"/>
              <w:ind w:left="110" w:leftChars="50" w:right="110" w:rightChars="50"/>
              <w:rPr>
                <w:rFonts w:hint="eastAsia"/>
                <w:color w:val="auto"/>
                <w:highlight w:val="none"/>
              </w:rPr>
            </w:pPr>
            <w:r>
              <w:rPr>
                <w:color w:val="auto"/>
                <w:highlight w:val="none"/>
              </w:rPr>
              <w:t>●</w:t>
            </w:r>
          </w:p>
        </w:tc>
        <w:tc>
          <w:tcPr>
            <w:tcW w:w="1520" w:type="dxa"/>
          </w:tcPr>
          <w:p w14:paraId="04EB0835">
            <w:pPr>
              <w:pStyle w:val="44"/>
              <w:ind w:left="110" w:leftChars="50" w:right="110" w:rightChars="50"/>
              <w:rPr>
                <w:rFonts w:hint="eastAsia"/>
                <w:color w:val="auto"/>
                <w:highlight w:val="none"/>
              </w:rPr>
            </w:pPr>
            <w:r>
              <w:rPr>
                <w:color w:val="auto"/>
                <w:highlight w:val="none"/>
              </w:rPr>
              <w:t>宜综合设置</w:t>
            </w:r>
          </w:p>
        </w:tc>
      </w:tr>
      <w:tr w14:paraId="74966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2" w:type="dxa"/>
            <w:vMerge w:val="continue"/>
            <w:tcBorders>
              <w:top w:val="nil"/>
            </w:tcBorders>
          </w:tcPr>
          <w:p w14:paraId="5C6048DF">
            <w:pPr>
              <w:pStyle w:val="44"/>
              <w:ind w:left="110" w:leftChars="50" w:right="110" w:rightChars="50"/>
              <w:rPr>
                <w:rFonts w:hint="eastAsia"/>
                <w:color w:val="auto"/>
                <w:highlight w:val="none"/>
              </w:rPr>
            </w:pPr>
          </w:p>
        </w:tc>
        <w:tc>
          <w:tcPr>
            <w:tcW w:w="3118" w:type="dxa"/>
          </w:tcPr>
          <w:p w14:paraId="74D86F9F">
            <w:pPr>
              <w:pStyle w:val="44"/>
              <w:ind w:left="110" w:leftChars="50" w:right="110" w:rightChars="50"/>
              <w:rPr>
                <w:rFonts w:hint="eastAsia"/>
                <w:color w:val="auto"/>
                <w:highlight w:val="none"/>
              </w:rPr>
            </w:pPr>
            <w:r>
              <w:rPr>
                <w:color w:val="auto"/>
                <w:highlight w:val="none"/>
              </w:rPr>
              <w:t>消防设施</w:t>
            </w:r>
          </w:p>
        </w:tc>
        <w:tc>
          <w:tcPr>
            <w:tcW w:w="1913" w:type="dxa"/>
          </w:tcPr>
          <w:p w14:paraId="2E3F1415">
            <w:pPr>
              <w:pStyle w:val="44"/>
              <w:ind w:left="110" w:leftChars="50" w:right="110" w:rightChars="50"/>
              <w:rPr>
                <w:rFonts w:hint="eastAsia"/>
                <w:color w:val="auto"/>
                <w:highlight w:val="none"/>
              </w:rPr>
            </w:pPr>
            <w:r>
              <w:rPr>
                <w:color w:val="auto"/>
                <w:highlight w:val="none"/>
              </w:rPr>
              <w:t>●</w:t>
            </w:r>
          </w:p>
        </w:tc>
        <w:tc>
          <w:tcPr>
            <w:tcW w:w="1915" w:type="dxa"/>
          </w:tcPr>
          <w:p w14:paraId="44F24411">
            <w:pPr>
              <w:pStyle w:val="44"/>
              <w:ind w:left="110" w:leftChars="50" w:right="110" w:rightChars="50"/>
              <w:rPr>
                <w:rFonts w:hint="eastAsia"/>
                <w:color w:val="auto"/>
                <w:highlight w:val="none"/>
              </w:rPr>
            </w:pPr>
            <w:r>
              <w:rPr>
                <w:color w:val="auto"/>
                <w:highlight w:val="none"/>
              </w:rPr>
              <w:t>●</w:t>
            </w:r>
          </w:p>
        </w:tc>
        <w:tc>
          <w:tcPr>
            <w:tcW w:w="1520" w:type="dxa"/>
          </w:tcPr>
          <w:p w14:paraId="1D2A233C">
            <w:pPr>
              <w:pStyle w:val="44"/>
              <w:ind w:left="110" w:leftChars="50" w:right="110" w:rightChars="50"/>
              <w:rPr>
                <w:rFonts w:hint="eastAsia"/>
                <w:color w:val="auto"/>
                <w:highlight w:val="none"/>
              </w:rPr>
            </w:pPr>
            <w:r>
              <w:rPr>
                <w:color w:val="auto"/>
                <w:highlight w:val="none"/>
              </w:rPr>
              <w:t>宜独立占地</w:t>
            </w:r>
          </w:p>
        </w:tc>
      </w:tr>
      <w:tr w14:paraId="143A6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2" w:type="dxa"/>
            <w:vMerge w:val="continue"/>
            <w:tcBorders>
              <w:top w:val="nil"/>
            </w:tcBorders>
          </w:tcPr>
          <w:p w14:paraId="45EFE682">
            <w:pPr>
              <w:pStyle w:val="44"/>
              <w:ind w:left="110" w:leftChars="50" w:right="110" w:rightChars="50"/>
              <w:rPr>
                <w:rFonts w:hint="eastAsia"/>
                <w:color w:val="auto"/>
                <w:highlight w:val="none"/>
              </w:rPr>
            </w:pPr>
          </w:p>
        </w:tc>
        <w:tc>
          <w:tcPr>
            <w:tcW w:w="3118" w:type="dxa"/>
          </w:tcPr>
          <w:p w14:paraId="1F6AD56E">
            <w:pPr>
              <w:pStyle w:val="44"/>
              <w:ind w:left="110" w:leftChars="50" w:right="110" w:rightChars="50"/>
              <w:rPr>
                <w:rFonts w:hint="eastAsia"/>
                <w:color w:val="auto"/>
                <w:highlight w:val="none"/>
              </w:rPr>
            </w:pPr>
            <w:r>
              <w:rPr>
                <w:color w:val="auto"/>
                <w:highlight w:val="none"/>
              </w:rPr>
              <w:t>村级客运站点</w:t>
            </w:r>
          </w:p>
        </w:tc>
        <w:tc>
          <w:tcPr>
            <w:tcW w:w="1913" w:type="dxa"/>
          </w:tcPr>
          <w:p w14:paraId="608AAC62">
            <w:pPr>
              <w:pStyle w:val="44"/>
              <w:ind w:left="110" w:leftChars="50" w:right="110" w:rightChars="50"/>
              <w:rPr>
                <w:rFonts w:hint="eastAsia"/>
                <w:color w:val="auto"/>
                <w:highlight w:val="none"/>
              </w:rPr>
            </w:pPr>
            <w:r>
              <w:rPr>
                <w:color w:val="auto"/>
                <w:highlight w:val="none"/>
              </w:rPr>
              <w:t>○</w:t>
            </w:r>
          </w:p>
        </w:tc>
        <w:tc>
          <w:tcPr>
            <w:tcW w:w="1915" w:type="dxa"/>
          </w:tcPr>
          <w:p w14:paraId="43041A1F">
            <w:pPr>
              <w:pStyle w:val="44"/>
              <w:ind w:left="110" w:leftChars="50" w:right="110" w:rightChars="50"/>
              <w:rPr>
                <w:rFonts w:hint="eastAsia"/>
                <w:color w:val="auto"/>
                <w:highlight w:val="none"/>
              </w:rPr>
            </w:pPr>
            <w:r>
              <w:rPr>
                <w:color w:val="auto"/>
                <w:highlight w:val="none"/>
              </w:rPr>
              <w:t>○</w:t>
            </w:r>
          </w:p>
        </w:tc>
        <w:tc>
          <w:tcPr>
            <w:tcW w:w="1520" w:type="dxa"/>
          </w:tcPr>
          <w:p w14:paraId="0F6AEE08">
            <w:pPr>
              <w:pStyle w:val="44"/>
              <w:ind w:left="110" w:leftChars="50" w:right="110" w:rightChars="50"/>
              <w:rPr>
                <w:rFonts w:hint="eastAsia"/>
                <w:color w:val="auto"/>
                <w:highlight w:val="none"/>
              </w:rPr>
            </w:pPr>
            <w:r>
              <w:rPr>
                <w:color w:val="auto"/>
                <w:highlight w:val="none"/>
              </w:rPr>
              <w:t>宜独立占地</w:t>
            </w:r>
          </w:p>
        </w:tc>
      </w:tr>
      <w:tr w14:paraId="4F9A4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2" w:type="dxa"/>
            <w:vMerge w:val="continue"/>
            <w:tcBorders>
              <w:top w:val="nil"/>
            </w:tcBorders>
          </w:tcPr>
          <w:p w14:paraId="1FEB16C6">
            <w:pPr>
              <w:pStyle w:val="44"/>
              <w:ind w:left="110" w:leftChars="50" w:right="110" w:rightChars="50"/>
              <w:rPr>
                <w:rFonts w:hint="eastAsia"/>
                <w:color w:val="auto"/>
                <w:highlight w:val="none"/>
              </w:rPr>
            </w:pPr>
          </w:p>
        </w:tc>
        <w:tc>
          <w:tcPr>
            <w:tcW w:w="3118" w:type="dxa"/>
          </w:tcPr>
          <w:p w14:paraId="18D568CC">
            <w:pPr>
              <w:pStyle w:val="44"/>
              <w:ind w:left="110" w:leftChars="50" w:right="110" w:rightChars="50"/>
              <w:rPr>
                <w:rFonts w:hint="eastAsia"/>
                <w:color w:val="auto"/>
                <w:highlight w:val="none"/>
              </w:rPr>
            </w:pPr>
            <w:r>
              <w:rPr>
                <w:color w:val="auto"/>
                <w:highlight w:val="none"/>
              </w:rPr>
              <w:t>公交站点</w:t>
            </w:r>
          </w:p>
        </w:tc>
        <w:tc>
          <w:tcPr>
            <w:tcW w:w="1913" w:type="dxa"/>
          </w:tcPr>
          <w:p w14:paraId="4E221CCC">
            <w:pPr>
              <w:pStyle w:val="44"/>
              <w:ind w:left="110" w:leftChars="50" w:right="110" w:rightChars="50"/>
              <w:rPr>
                <w:rFonts w:hint="eastAsia"/>
                <w:color w:val="auto"/>
                <w:highlight w:val="none"/>
              </w:rPr>
            </w:pPr>
            <w:r>
              <w:rPr>
                <w:color w:val="auto"/>
                <w:highlight w:val="none"/>
              </w:rPr>
              <w:t>○</w:t>
            </w:r>
          </w:p>
        </w:tc>
        <w:tc>
          <w:tcPr>
            <w:tcW w:w="1915" w:type="dxa"/>
          </w:tcPr>
          <w:p w14:paraId="0DB78AEA">
            <w:pPr>
              <w:pStyle w:val="44"/>
              <w:ind w:left="110" w:leftChars="50" w:right="110" w:rightChars="50"/>
              <w:rPr>
                <w:rFonts w:hint="eastAsia"/>
                <w:color w:val="auto"/>
                <w:highlight w:val="none"/>
              </w:rPr>
            </w:pPr>
            <w:r>
              <w:rPr>
                <w:color w:val="auto"/>
                <w:highlight w:val="none"/>
              </w:rPr>
              <w:t>○</w:t>
            </w:r>
          </w:p>
        </w:tc>
        <w:tc>
          <w:tcPr>
            <w:tcW w:w="1520" w:type="dxa"/>
          </w:tcPr>
          <w:p w14:paraId="5558ED73">
            <w:pPr>
              <w:pStyle w:val="44"/>
              <w:ind w:left="110" w:leftChars="50" w:right="110" w:rightChars="50"/>
              <w:rPr>
                <w:rFonts w:hint="eastAsia"/>
                <w:color w:val="auto"/>
                <w:highlight w:val="none"/>
              </w:rPr>
            </w:pPr>
            <w:r>
              <w:rPr>
                <w:color w:val="auto"/>
                <w:highlight w:val="none"/>
              </w:rPr>
              <w:t>宜独立占地</w:t>
            </w:r>
          </w:p>
        </w:tc>
      </w:tr>
      <w:tr w14:paraId="199FE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272" w:type="dxa"/>
            <w:vMerge w:val="continue"/>
            <w:tcBorders>
              <w:top w:val="nil"/>
            </w:tcBorders>
          </w:tcPr>
          <w:p w14:paraId="6CE38810">
            <w:pPr>
              <w:pStyle w:val="44"/>
              <w:ind w:left="110" w:leftChars="50" w:right="110" w:rightChars="50"/>
              <w:rPr>
                <w:rFonts w:hint="eastAsia"/>
                <w:color w:val="auto"/>
                <w:highlight w:val="none"/>
              </w:rPr>
            </w:pPr>
          </w:p>
        </w:tc>
        <w:tc>
          <w:tcPr>
            <w:tcW w:w="3118" w:type="dxa"/>
          </w:tcPr>
          <w:p w14:paraId="6FE7BEE0">
            <w:pPr>
              <w:pStyle w:val="44"/>
              <w:ind w:left="110" w:leftChars="50" w:right="110" w:rightChars="50"/>
              <w:rPr>
                <w:rFonts w:hint="eastAsia"/>
                <w:color w:val="auto"/>
                <w:highlight w:val="none"/>
              </w:rPr>
            </w:pPr>
            <w:r>
              <w:rPr>
                <w:color w:val="auto"/>
                <w:highlight w:val="none"/>
              </w:rPr>
              <w:t>物流配送点</w:t>
            </w:r>
          </w:p>
        </w:tc>
        <w:tc>
          <w:tcPr>
            <w:tcW w:w="1913" w:type="dxa"/>
          </w:tcPr>
          <w:p w14:paraId="28929B53">
            <w:pPr>
              <w:pStyle w:val="44"/>
              <w:ind w:left="110" w:leftChars="50" w:right="110" w:rightChars="50"/>
              <w:rPr>
                <w:rFonts w:hint="eastAsia"/>
                <w:color w:val="auto"/>
                <w:highlight w:val="none"/>
              </w:rPr>
            </w:pPr>
            <w:r>
              <w:rPr>
                <w:color w:val="auto"/>
                <w:highlight w:val="none"/>
              </w:rPr>
              <w:t>●</w:t>
            </w:r>
          </w:p>
        </w:tc>
        <w:tc>
          <w:tcPr>
            <w:tcW w:w="1915" w:type="dxa"/>
          </w:tcPr>
          <w:p w14:paraId="1B5D940C">
            <w:pPr>
              <w:pStyle w:val="44"/>
              <w:ind w:left="110" w:leftChars="50" w:right="110" w:rightChars="50"/>
              <w:rPr>
                <w:rFonts w:hint="eastAsia"/>
                <w:color w:val="auto"/>
                <w:highlight w:val="none"/>
              </w:rPr>
            </w:pPr>
            <w:r>
              <w:rPr>
                <w:color w:val="auto"/>
                <w:highlight w:val="none"/>
              </w:rPr>
              <w:t>○</w:t>
            </w:r>
          </w:p>
        </w:tc>
        <w:tc>
          <w:tcPr>
            <w:tcW w:w="1520" w:type="dxa"/>
          </w:tcPr>
          <w:p w14:paraId="7005627A">
            <w:pPr>
              <w:pStyle w:val="44"/>
              <w:ind w:left="110" w:leftChars="50" w:right="110" w:rightChars="50"/>
              <w:rPr>
                <w:rFonts w:hint="eastAsia"/>
                <w:color w:val="auto"/>
                <w:highlight w:val="none"/>
              </w:rPr>
            </w:pPr>
            <w:r>
              <w:rPr>
                <w:color w:val="auto"/>
                <w:highlight w:val="none"/>
              </w:rPr>
              <w:t>宜综合设置</w:t>
            </w:r>
          </w:p>
        </w:tc>
      </w:tr>
    </w:tbl>
    <w:p w14:paraId="2634FB41">
      <w:pPr>
        <w:spacing w:line="360" w:lineRule="auto"/>
        <w:ind w:left="110" w:leftChars="50" w:right="110" w:rightChars="50" w:firstLine="560" w:firstLineChars="200"/>
        <w:rPr>
          <w:rFonts w:hint="eastAsia"/>
          <w:color w:val="auto"/>
          <w:sz w:val="28"/>
          <w:szCs w:val="28"/>
          <w:highlight w:val="none"/>
          <w:lang w:eastAsia="zh-CN"/>
        </w:rPr>
      </w:pPr>
      <w:r>
        <w:rPr>
          <w:color w:val="auto"/>
          <w:sz w:val="28"/>
          <w:szCs w:val="28"/>
          <w:highlight w:val="none"/>
          <w:lang w:eastAsia="zh-CN"/>
        </w:rPr>
        <w:t>注：●表示应建，○表示可建。</w:t>
      </w:r>
    </w:p>
    <w:p w14:paraId="5997C195">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w:t>
      </w:r>
      <w:r>
        <w:rPr>
          <w:rFonts w:hint="eastAsia" w:ascii="微软雅黑" w:hAnsi="微软雅黑" w:eastAsia="微软雅黑"/>
          <w:b/>
          <w:color w:val="auto"/>
          <w:sz w:val="28"/>
          <w:szCs w:val="28"/>
          <w:highlight w:val="none"/>
          <w:lang w:val="en-US" w:eastAsia="zh-CN"/>
        </w:rPr>
        <w:t>二</w:t>
      </w:r>
      <w:r>
        <w:rPr>
          <w:rFonts w:hint="eastAsia" w:ascii="微软雅黑" w:hAnsi="微软雅黑" w:eastAsia="微软雅黑"/>
          <w:b/>
          <w:color w:val="auto"/>
          <w:sz w:val="28"/>
          <w:szCs w:val="28"/>
          <w:highlight w:val="none"/>
          <w:lang w:eastAsia="zh-CN"/>
        </w:rPr>
        <w:t>十</w:t>
      </w:r>
      <w:r>
        <w:rPr>
          <w:rFonts w:hint="eastAsia" w:ascii="微软雅黑" w:hAnsi="微软雅黑" w:eastAsia="微软雅黑"/>
          <w:b/>
          <w:color w:val="auto"/>
          <w:sz w:val="28"/>
          <w:szCs w:val="28"/>
          <w:highlight w:val="none"/>
          <w:lang w:val="en-US" w:eastAsia="zh-CN"/>
        </w:rPr>
        <w:t>八</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给水设施布局通用要求如下：</w:t>
      </w:r>
    </w:p>
    <w:p w14:paraId="2DEA4A38">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color w:val="auto"/>
          <w:spacing w:val="-3"/>
          <w:highlight w:val="none"/>
          <w:lang w:eastAsia="zh-CN"/>
        </w:rPr>
        <w:t>水源应选择水量充沛、水质良好、便于卫生防护的位置。</w:t>
      </w:r>
    </w:p>
    <w:p w14:paraId="102E1F10">
      <w:pPr>
        <w:pStyle w:val="11"/>
        <w:spacing w:line="360" w:lineRule="auto"/>
        <w:ind w:left="110" w:leftChars="50" w:right="110" w:rightChars="50" w:firstLine="560" w:firstLineChars="200"/>
        <w:rPr>
          <w:rFonts w:hint="eastAsia"/>
          <w:color w:val="auto"/>
          <w:spacing w:val="-3"/>
          <w:highlight w:val="none"/>
          <w:lang w:eastAsia="zh-CN"/>
        </w:rPr>
      </w:pPr>
      <w:r>
        <w:rPr>
          <w:color w:val="auto"/>
          <w:highlight w:val="none"/>
          <w:lang w:eastAsia="zh-CN"/>
        </w:rPr>
        <w:t>（二</w:t>
      </w:r>
      <w:r>
        <w:rPr>
          <w:color w:val="auto"/>
          <w:spacing w:val="-20"/>
          <w:highlight w:val="none"/>
          <w:lang w:eastAsia="zh-CN"/>
        </w:rPr>
        <w:t>）</w:t>
      </w:r>
      <w:r>
        <w:rPr>
          <w:rFonts w:hint="eastAsia"/>
          <w:color w:val="auto"/>
          <w:spacing w:val="-6"/>
          <w:highlight w:val="none"/>
          <w:lang w:eastAsia="zh-CN"/>
        </w:rPr>
        <w:t>取水构筑物的位置应靠近主要供水区，靠近输电网，施工和运行管理方便；地下水取水构筑物的位置应按地下水流向，设在村镇的上游</w:t>
      </w:r>
      <w:r>
        <w:rPr>
          <w:color w:val="auto"/>
          <w:spacing w:val="-3"/>
          <w:highlight w:val="none"/>
          <w:lang w:eastAsia="zh-CN"/>
        </w:rPr>
        <w:t>。</w:t>
      </w:r>
    </w:p>
    <w:p w14:paraId="546A5EAF">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color w:val="auto"/>
          <w:spacing w:val="-20"/>
          <w:highlight w:val="none"/>
          <w:lang w:eastAsia="zh-CN"/>
        </w:rPr>
        <w:t>）</w:t>
      </w:r>
      <w:r>
        <w:rPr>
          <w:rFonts w:hint="eastAsia"/>
          <w:color w:val="auto"/>
          <w:spacing w:val="-6"/>
          <w:highlight w:val="none"/>
          <w:lang w:eastAsia="zh-CN"/>
        </w:rPr>
        <w:t>调蓄构筑物应选择在便于引水、取水和卫生防护的地段，有地形可利用时可设在高处；蓄水池容积应根据设计供水规模、水源保障情况、引蓄时间和次数确定</w:t>
      </w:r>
      <w:r>
        <w:rPr>
          <w:color w:val="auto"/>
          <w:highlight w:val="none"/>
          <w:lang w:eastAsia="zh-CN"/>
        </w:rPr>
        <w:t>。</w:t>
      </w:r>
    </w:p>
    <w:p w14:paraId="0FBF506B">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（四</w:t>
      </w:r>
      <w:r>
        <w:rPr>
          <w:color w:val="auto"/>
          <w:spacing w:val="-10"/>
          <w:highlight w:val="none"/>
          <w:lang w:eastAsia="zh-CN"/>
        </w:rPr>
        <w:t>）</w:t>
      </w:r>
      <w:r>
        <w:rPr>
          <w:rFonts w:hint="eastAsia"/>
          <w:color w:val="auto"/>
          <w:spacing w:val="-9"/>
          <w:highlight w:val="none"/>
          <w:lang w:eastAsia="zh-CN"/>
        </w:rPr>
        <w:t>泵站应根据供水系统布局，以及地形、地质、防洪、电力、交通、施工和管理等条件分析确定。取水泵站应满足水厂的设计要求，供水泵站和加压泵站应同时满足用水户对水量和水压的要求，充分考虑供水运行时的节能降耗要求</w:t>
      </w:r>
      <w:r>
        <w:rPr>
          <w:color w:val="auto"/>
          <w:spacing w:val="-10"/>
          <w:highlight w:val="none"/>
          <w:lang w:eastAsia="zh-CN"/>
        </w:rPr>
        <w:t>。</w:t>
      </w:r>
    </w:p>
    <w:p w14:paraId="397CE17A">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w:t>
      </w:r>
      <w:r>
        <w:rPr>
          <w:rFonts w:hint="eastAsia" w:ascii="微软雅黑" w:hAnsi="微软雅黑" w:eastAsia="微软雅黑"/>
          <w:b/>
          <w:color w:val="auto"/>
          <w:sz w:val="28"/>
          <w:szCs w:val="28"/>
          <w:highlight w:val="none"/>
          <w:lang w:val="en-US" w:eastAsia="zh-CN"/>
        </w:rPr>
        <w:t>二</w:t>
      </w:r>
      <w:r>
        <w:rPr>
          <w:rFonts w:hint="eastAsia" w:ascii="微软雅黑" w:hAnsi="微软雅黑" w:eastAsia="微软雅黑"/>
          <w:b/>
          <w:color w:val="auto"/>
          <w:sz w:val="28"/>
          <w:szCs w:val="28"/>
          <w:highlight w:val="none"/>
          <w:lang w:eastAsia="zh-CN"/>
        </w:rPr>
        <w:t>十</w:t>
      </w:r>
      <w:r>
        <w:rPr>
          <w:rFonts w:hint="eastAsia" w:ascii="微软雅黑" w:hAnsi="微软雅黑" w:eastAsia="微软雅黑"/>
          <w:b/>
          <w:color w:val="auto"/>
          <w:sz w:val="28"/>
          <w:szCs w:val="28"/>
          <w:highlight w:val="none"/>
          <w:lang w:val="en-US" w:eastAsia="zh-CN"/>
        </w:rPr>
        <w:t>九</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集中污水处理设施布局通用要求如下：</w:t>
      </w:r>
    </w:p>
    <w:p w14:paraId="06E2DF8A">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选址必须满足饮用水水源保护区管控要求以及生态环境保护的要求，应在居住区的夏季主导风向的下风向、村庄水系下游</w:t>
      </w:r>
      <w:r>
        <w:rPr>
          <w:color w:val="auto"/>
          <w:highlight w:val="none"/>
          <w:lang w:eastAsia="zh-CN"/>
        </w:rPr>
        <w:t>。</w:t>
      </w:r>
    </w:p>
    <w:p w14:paraId="48A658EB">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w:t>
      </w:r>
      <w:r>
        <w:rPr>
          <w:rFonts w:hint="eastAsia"/>
          <w:color w:val="auto"/>
          <w:highlight w:val="none"/>
          <w:lang w:eastAsia="zh-CN"/>
        </w:rPr>
        <w:t>宜选择地势相对较低，交通、运输及供水供电较方便地段</w:t>
      </w:r>
      <w:r>
        <w:rPr>
          <w:color w:val="auto"/>
          <w:highlight w:val="none"/>
          <w:lang w:eastAsia="zh-CN"/>
        </w:rPr>
        <w:t>。</w:t>
      </w:r>
    </w:p>
    <w:p w14:paraId="30AE1A85">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rFonts w:hint="eastAsia"/>
          <w:color w:val="auto"/>
          <w:highlight w:val="none"/>
          <w:lang w:eastAsia="zh-CN"/>
        </w:rPr>
        <w:t>不宜靠近村民住房、学校及医疗设施等</w:t>
      </w:r>
      <w:r>
        <w:rPr>
          <w:color w:val="auto"/>
          <w:highlight w:val="none"/>
          <w:lang w:eastAsia="zh-CN"/>
        </w:rPr>
        <w:t>。</w:t>
      </w:r>
    </w:p>
    <w:p w14:paraId="223C306B">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（四）</w:t>
      </w:r>
      <w:r>
        <w:rPr>
          <w:rFonts w:hint="eastAsia"/>
          <w:color w:val="auto"/>
          <w:highlight w:val="none"/>
          <w:lang w:eastAsia="zh-CN"/>
        </w:rPr>
        <w:t>不宜设置在低洼易涝区，应满足防洪有关要求</w:t>
      </w:r>
      <w:r>
        <w:rPr>
          <w:color w:val="auto"/>
          <w:highlight w:val="none"/>
          <w:lang w:eastAsia="zh-CN"/>
        </w:rPr>
        <w:t>。</w:t>
      </w:r>
    </w:p>
    <w:p w14:paraId="7A1A3303">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第三十条</w:t>
      </w:r>
      <w:r>
        <w:rPr>
          <w:rFonts w:hint="eastAsia"/>
          <w:b/>
          <w:color w:val="auto"/>
          <w:sz w:val="28"/>
          <w:szCs w:val="28"/>
          <w:highlight w:val="none"/>
          <w:lang w:eastAsia="zh-CN"/>
        </w:rPr>
        <w:t xml:space="preserve"> </w:t>
      </w:r>
      <w:r>
        <w:rPr>
          <w:color w:val="auto"/>
          <w:sz w:val="28"/>
          <w:szCs w:val="28"/>
          <w:highlight w:val="none"/>
          <w:lang w:eastAsia="zh-CN"/>
        </w:rPr>
        <w:t>雨、污泵站设施布局通用要求如下：</w:t>
      </w:r>
    </w:p>
    <w:p w14:paraId="5A23F87E">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排水泵站宜选择在排水区地势低洼、能汇集排水区涝水且靠近承泄区的地点</w:t>
      </w:r>
      <w:r>
        <w:rPr>
          <w:color w:val="auto"/>
          <w:highlight w:val="none"/>
          <w:lang w:eastAsia="zh-CN"/>
        </w:rPr>
        <w:t>。</w:t>
      </w:r>
    </w:p>
    <w:p w14:paraId="3100E419">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w:t>
      </w:r>
      <w:r>
        <w:rPr>
          <w:rFonts w:hint="eastAsia"/>
          <w:color w:val="auto"/>
          <w:highlight w:val="none"/>
          <w:lang w:eastAsia="zh-CN"/>
        </w:rPr>
        <w:t>排水泵站出水口不应设在迎溜、崩岸或淤积严重的河段</w:t>
      </w:r>
      <w:r>
        <w:rPr>
          <w:color w:val="auto"/>
          <w:highlight w:val="none"/>
          <w:lang w:eastAsia="zh-CN"/>
        </w:rPr>
        <w:t>。</w:t>
      </w:r>
    </w:p>
    <w:p w14:paraId="0A3B6342">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rFonts w:hint="eastAsia"/>
          <w:color w:val="auto"/>
          <w:highlight w:val="none"/>
          <w:lang w:eastAsia="zh-CN"/>
        </w:rPr>
        <w:t>污水泵站应与周边住房、公共建筑保持必要的卫生防护距离，防护距离应根据卫生、环保、消防和安全等因素综合确定</w:t>
      </w:r>
      <w:r>
        <w:rPr>
          <w:color w:val="auto"/>
          <w:highlight w:val="none"/>
          <w:lang w:eastAsia="zh-CN"/>
        </w:rPr>
        <w:t>。</w:t>
      </w:r>
    </w:p>
    <w:p w14:paraId="235B9C17">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第三十</w:t>
      </w:r>
      <w:r>
        <w:rPr>
          <w:rFonts w:hint="eastAsia" w:ascii="微软雅黑" w:hAnsi="微软雅黑" w:eastAsia="微软雅黑"/>
          <w:b/>
          <w:color w:val="auto"/>
          <w:sz w:val="28"/>
          <w:szCs w:val="28"/>
          <w:highlight w:val="none"/>
          <w:lang w:val="en-US" w:eastAsia="zh-CN"/>
        </w:rPr>
        <w:t>一</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供电设施布局通用要求如下：</w:t>
      </w:r>
    </w:p>
    <w:p w14:paraId="0C7FF247">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应接近负荷中心，且便于进、出线的布置、交通便利的地段</w:t>
      </w:r>
      <w:r>
        <w:rPr>
          <w:color w:val="auto"/>
          <w:highlight w:val="none"/>
          <w:lang w:eastAsia="zh-CN"/>
        </w:rPr>
        <w:t>。</w:t>
      </w:r>
    </w:p>
    <w:p w14:paraId="237E520E">
      <w:pPr>
        <w:pStyle w:val="11"/>
        <w:spacing w:line="360" w:lineRule="auto"/>
        <w:ind w:left="110" w:leftChars="50" w:right="110" w:rightChars="50" w:firstLine="560" w:firstLineChars="200"/>
        <w:rPr>
          <w:rFonts w:hint="eastAsia"/>
          <w:color w:val="auto"/>
          <w:highlight w:val="none"/>
        </w:rPr>
      </w:pPr>
      <w:r>
        <w:rPr>
          <w:color w:val="auto"/>
          <w:highlight w:val="none"/>
        </w:rPr>
        <w:t>（二）</w:t>
      </w:r>
      <w:r>
        <w:rPr>
          <w:rFonts w:hint="eastAsia"/>
          <w:color w:val="auto"/>
          <w:highlight w:val="none"/>
        </w:rPr>
        <w:t>利用自然地形可有效排水</w:t>
      </w:r>
      <w:r>
        <w:rPr>
          <w:color w:val="auto"/>
          <w:highlight w:val="none"/>
        </w:rPr>
        <w:t>。</w:t>
      </w:r>
    </w:p>
    <w:p w14:paraId="401EA8C5">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rFonts w:hint="eastAsia"/>
          <w:color w:val="auto"/>
          <w:highlight w:val="none"/>
          <w:lang w:eastAsia="zh-CN"/>
        </w:rPr>
        <w:t>避开易燃、易爆及严重污染地区</w:t>
      </w:r>
      <w:r>
        <w:rPr>
          <w:color w:val="auto"/>
          <w:spacing w:val="-3"/>
          <w:highlight w:val="none"/>
          <w:lang w:eastAsia="zh-CN"/>
        </w:rPr>
        <w:t>。</w:t>
      </w:r>
    </w:p>
    <w:p w14:paraId="733D648E">
      <w:pPr>
        <w:pStyle w:val="11"/>
        <w:spacing w:line="360" w:lineRule="auto"/>
        <w:ind w:left="110" w:leftChars="50" w:right="110" w:rightChars="50" w:firstLine="556" w:firstLineChars="200"/>
        <w:rPr>
          <w:rFonts w:hint="eastAsia"/>
          <w:color w:val="auto"/>
          <w:highlight w:val="none"/>
          <w:lang w:eastAsia="zh-CN"/>
        </w:rPr>
      </w:pPr>
      <w:r>
        <w:rPr>
          <w:color w:val="auto"/>
          <w:spacing w:val="-1"/>
          <w:highlight w:val="none"/>
          <w:lang w:eastAsia="zh-CN"/>
        </w:rPr>
        <w:t>（</w:t>
      </w:r>
      <w:r>
        <w:rPr>
          <w:color w:val="auto"/>
          <w:highlight w:val="none"/>
          <w:lang w:eastAsia="zh-CN"/>
        </w:rPr>
        <w:t>四）</w:t>
      </w:r>
      <w:r>
        <w:rPr>
          <w:rFonts w:hint="eastAsia"/>
          <w:color w:val="auto"/>
          <w:highlight w:val="none"/>
          <w:lang w:eastAsia="zh-CN"/>
        </w:rPr>
        <w:t>注意对公用通信设施的干扰问题</w:t>
      </w:r>
      <w:r>
        <w:rPr>
          <w:color w:val="auto"/>
          <w:spacing w:val="-3"/>
          <w:highlight w:val="none"/>
          <w:lang w:eastAsia="zh-CN"/>
        </w:rPr>
        <w:t>。</w:t>
      </w:r>
    </w:p>
    <w:p w14:paraId="1547975F">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第三十</w:t>
      </w:r>
      <w:r>
        <w:rPr>
          <w:rFonts w:hint="eastAsia" w:ascii="微软雅黑" w:hAnsi="微软雅黑" w:eastAsia="微软雅黑"/>
          <w:b/>
          <w:color w:val="auto"/>
          <w:sz w:val="28"/>
          <w:szCs w:val="28"/>
          <w:highlight w:val="none"/>
          <w:lang w:val="en-US" w:eastAsia="zh-CN"/>
        </w:rPr>
        <w:t>二</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环卫设施布局通用要求如下：</w:t>
      </w:r>
    </w:p>
    <w:p w14:paraId="7686CDAF">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农村生活垃圾分类、收集、运输和处理设施的数量、规模、布局和选址应通过对经济、社会和环境影响等综合分析确定</w:t>
      </w:r>
      <w:r>
        <w:rPr>
          <w:color w:val="auto"/>
          <w:highlight w:val="none"/>
          <w:lang w:eastAsia="zh-CN"/>
        </w:rPr>
        <w:t>。</w:t>
      </w:r>
    </w:p>
    <w:p w14:paraId="2C8D98EE">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w:t>
      </w:r>
      <w:r>
        <w:rPr>
          <w:rFonts w:hint="eastAsia"/>
          <w:color w:val="auto"/>
          <w:highlight w:val="none"/>
          <w:lang w:eastAsia="zh-CN"/>
        </w:rPr>
        <w:t>垃圾收集点的选址应方便投放、收集、利于机械化收运作业、不干扰居民正常生活、不影响村容观瞻等要求</w:t>
      </w:r>
      <w:r>
        <w:rPr>
          <w:color w:val="auto"/>
          <w:highlight w:val="none"/>
          <w:lang w:eastAsia="zh-CN"/>
        </w:rPr>
        <w:t>。</w:t>
      </w:r>
    </w:p>
    <w:p w14:paraId="4F309ABB">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rFonts w:hint="eastAsia"/>
          <w:color w:val="auto"/>
          <w:highlight w:val="none"/>
          <w:lang w:eastAsia="zh-CN"/>
        </w:rPr>
        <w:t>垃圾转运站与相邻建筑间距应不小于8 米，粪便处理设施与居民点、公共设施等的间距不应小于50 米，建筑垃圾处置设施距居民点及人畜供水点不应小于500 米。</w:t>
      </w:r>
    </w:p>
    <w:p w14:paraId="16ACE196">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（四</w:t>
      </w:r>
      <w:r>
        <w:rPr>
          <w:color w:val="auto"/>
          <w:spacing w:val="-29"/>
          <w:highlight w:val="none"/>
          <w:lang w:eastAsia="zh-CN"/>
        </w:rPr>
        <w:t>）</w:t>
      </w:r>
      <w:r>
        <w:rPr>
          <w:rFonts w:hint="eastAsia"/>
          <w:color w:val="auto"/>
          <w:spacing w:val="-5"/>
          <w:highlight w:val="none"/>
          <w:lang w:eastAsia="zh-CN"/>
        </w:rPr>
        <w:t>填埋场的布局应符合相关规划，用地选址具备基本的工程地质和水文地质条件，不受洪水、潮水、内涝的威胁；交通方便、运距合理，远离人口密集居住区，与居住区防护距离应不小于500 米，与河流、湖泊距离应不小于50 米</w:t>
      </w:r>
      <w:r>
        <w:rPr>
          <w:color w:val="auto"/>
          <w:spacing w:val="-3"/>
          <w:highlight w:val="none"/>
          <w:lang w:eastAsia="zh-CN"/>
        </w:rPr>
        <w:t>。</w:t>
      </w:r>
    </w:p>
    <w:p w14:paraId="0156EF51">
      <w:pPr>
        <w:spacing w:line="360" w:lineRule="auto"/>
        <w:ind w:left="110" w:leftChars="50" w:right="110" w:rightChars="50" w:firstLine="560" w:firstLineChars="200"/>
        <w:jc w:val="both"/>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第三十</w:t>
      </w:r>
      <w:r>
        <w:rPr>
          <w:rFonts w:hint="eastAsia" w:ascii="微软雅黑" w:hAnsi="微软雅黑" w:eastAsia="微软雅黑"/>
          <w:b/>
          <w:color w:val="auto"/>
          <w:sz w:val="28"/>
          <w:szCs w:val="28"/>
          <w:highlight w:val="none"/>
          <w:lang w:val="en-US" w:eastAsia="zh-CN"/>
        </w:rPr>
        <w:t>三</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公共厕所布局通用要求如下：</w:t>
      </w:r>
    </w:p>
    <w:p w14:paraId="4F494522">
      <w:pPr>
        <w:spacing w:line="360" w:lineRule="auto"/>
        <w:ind w:left="110" w:leftChars="50" w:right="110" w:rightChars="50" w:firstLine="560" w:firstLineChars="200"/>
        <w:rPr>
          <w:rFonts w:hint="eastAsia"/>
          <w:color w:val="auto"/>
          <w:sz w:val="28"/>
          <w:szCs w:val="28"/>
          <w:highlight w:val="none"/>
          <w:lang w:eastAsia="zh-CN"/>
        </w:rPr>
      </w:pPr>
      <w:r>
        <w:rPr>
          <w:rFonts w:hint="eastAsia"/>
          <w:color w:val="auto"/>
          <w:sz w:val="28"/>
          <w:szCs w:val="28"/>
          <w:highlight w:val="none"/>
          <w:lang w:eastAsia="zh-CN"/>
        </w:rPr>
        <w:t>（一）乡村独立式公共厕所可优先考虑建在村庄入口、活动广场、停车场、集贸市场、乡村旅游区（农家乐）等人口集中区域。</w:t>
      </w:r>
    </w:p>
    <w:p w14:paraId="48EDFA6C">
      <w:pPr>
        <w:spacing w:line="360" w:lineRule="auto"/>
        <w:ind w:left="110" w:leftChars="50" w:right="110" w:rightChars="50" w:firstLine="560" w:firstLineChars="200"/>
        <w:rPr>
          <w:rFonts w:hint="eastAsia"/>
          <w:color w:val="auto"/>
          <w:sz w:val="28"/>
          <w:szCs w:val="28"/>
          <w:highlight w:val="none"/>
          <w:lang w:eastAsia="zh-CN"/>
        </w:rPr>
      </w:pPr>
      <w:r>
        <w:rPr>
          <w:rFonts w:hint="eastAsia"/>
          <w:color w:val="auto"/>
          <w:sz w:val="28"/>
          <w:szCs w:val="28"/>
          <w:highlight w:val="none"/>
          <w:lang w:eastAsia="zh-CN"/>
        </w:rPr>
        <w:t>（二）与集中式给水点和地下取水构筑物等的距离应大于30米。</w:t>
      </w:r>
    </w:p>
    <w:p w14:paraId="00F992DB">
      <w:pPr>
        <w:spacing w:line="360" w:lineRule="auto"/>
        <w:ind w:left="550" w:leftChars="250" w:right="110" w:rightChars="50"/>
        <w:rPr>
          <w:rFonts w:hint="eastAsia"/>
          <w:color w:val="auto"/>
          <w:sz w:val="28"/>
          <w:szCs w:val="28"/>
          <w:highlight w:val="none"/>
          <w:lang w:eastAsia="zh-CN"/>
        </w:rPr>
      </w:pPr>
      <w:r>
        <w:rPr>
          <w:rFonts w:hint="eastAsia"/>
          <w:color w:val="auto"/>
          <w:sz w:val="28"/>
          <w:szCs w:val="28"/>
          <w:highlight w:val="none"/>
          <w:lang w:eastAsia="zh-CN"/>
        </w:rPr>
        <w:t>（三）宜建在所服务区域的常年主导风向的下风向处。</w:t>
      </w:r>
      <w:r>
        <w:rPr>
          <w:rFonts w:hint="eastAsia"/>
          <w:color w:val="auto"/>
          <w:sz w:val="28"/>
          <w:szCs w:val="28"/>
          <w:highlight w:val="none"/>
          <w:lang w:eastAsia="zh-CN"/>
        </w:rPr>
        <w:cr/>
      </w:r>
      <w:r>
        <w:rPr>
          <w:rFonts w:hint="eastAsia" w:ascii="微软雅黑" w:hAnsi="微软雅黑" w:eastAsia="微软雅黑"/>
          <w:b/>
          <w:color w:val="auto"/>
          <w:sz w:val="28"/>
          <w:szCs w:val="28"/>
          <w:highlight w:val="none"/>
          <w:lang w:eastAsia="zh-CN"/>
        </w:rPr>
        <w:t>第三十</w:t>
      </w:r>
      <w:r>
        <w:rPr>
          <w:rFonts w:hint="eastAsia" w:ascii="微软雅黑" w:hAnsi="微软雅黑" w:eastAsia="微软雅黑"/>
          <w:b/>
          <w:color w:val="auto"/>
          <w:sz w:val="28"/>
          <w:szCs w:val="28"/>
          <w:highlight w:val="none"/>
          <w:lang w:val="en-US" w:eastAsia="zh-CN"/>
        </w:rPr>
        <w:t>四</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消防设施布局通用要求如下：</w:t>
      </w:r>
    </w:p>
    <w:p w14:paraId="6989B60D">
      <w:pPr>
        <w:spacing w:line="360" w:lineRule="auto"/>
        <w:ind w:left="110" w:leftChars="50" w:right="110" w:rightChars="50" w:firstLine="560" w:firstLineChars="200"/>
        <w:rPr>
          <w:rFonts w:hint="eastAsia"/>
          <w:color w:val="auto"/>
          <w:sz w:val="28"/>
          <w:szCs w:val="28"/>
          <w:highlight w:val="none"/>
          <w:lang w:eastAsia="zh-CN"/>
        </w:rPr>
      </w:pPr>
      <w:r>
        <w:rPr>
          <w:rFonts w:hint="eastAsia"/>
          <w:color w:val="auto"/>
          <w:sz w:val="28"/>
          <w:szCs w:val="28"/>
          <w:highlight w:val="none"/>
          <w:lang w:eastAsia="zh-CN"/>
        </w:rPr>
        <w:t>（一）消防水池应设置在便于消防车取水且不易被污染的地段，宜靠近主要道路或消防车道。</w:t>
      </w:r>
    </w:p>
    <w:p w14:paraId="757BFA25">
      <w:pPr>
        <w:spacing w:line="360" w:lineRule="auto"/>
        <w:ind w:left="110" w:leftChars="50" w:right="110" w:rightChars="50" w:firstLine="560" w:firstLineChars="200"/>
        <w:rPr>
          <w:rFonts w:hint="eastAsia"/>
          <w:color w:val="auto"/>
          <w:sz w:val="28"/>
          <w:szCs w:val="28"/>
          <w:highlight w:val="none"/>
          <w:lang w:eastAsia="zh-CN"/>
        </w:rPr>
      </w:pPr>
      <w:r>
        <w:rPr>
          <w:rFonts w:hint="eastAsia"/>
          <w:color w:val="auto"/>
          <w:sz w:val="28"/>
          <w:szCs w:val="28"/>
          <w:highlight w:val="none"/>
          <w:lang w:eastAsia="zh-CN"/>
        </w:rPr>
        <w:t>（二）消防器材室应设置在便于取用且安全的位置，一般宜靠近村庄中心或主要公共建筑。</w:t>
      </w:r>
    </w:p>
    <w:p w14:paraId="30384A3D">
      <w:pPr>
        <w:spacing w:line="360" w:lineRule="auto"/>
        <w:ind w:left="110" w:leftChars="50" w:right="110" w:rightChars="50" w:firstLine="560" w:firstLineChars="200"/>
        <w:rPr>
          <w:rFonts w:hint="eastAsia"/>
          <w:color w:val="auto"/>
          <w:sz w:val="28"/>
          <w:szCs w:val="28"/>
          <w:highlight w:val="none"/>
          <w:lang w:eastAsia="zh-CN"/>
        </w:rPr>
      </w:pPr>
      <w:r>
        <w:rPr>
          <w:rFonts w:hint="eastAsia"/>
          <w:color w:val="auto"/>
          <w:sz w:val="28"/>
          <w:szCs w:val="28"/>
          <w:highlight w:val="none"/>
          <w:lang w:eastAsia="zh-CN"/>
        </w:rPr>
        <w:t>（三）根据村庄规模和实际需要，设置消火栓、消防泵房等消防设施。</w:t>
      </w:r>
    </w:p>
    <w:p w14:paraId="1086A878">
      <w:pPr>
        <w:spacing w:line="360" w:lineRule="auto"/>
        <w:ind w:left="110" w:leftChars="50" w:right="110" w:rightChars="50" w:firstLine="560" w:firstLineChars="200"/>
        <w:rPr>
          <w:color w:val="auto"/>
          <w:highlight w:val="none"/>
          <w:lang w:eastAsia="zh-CN"/>
        </w:rPr>
      </w:pPr>
      <w:r>
        <w:rPr>
          <w:rFonts w:hint="eastAsia"/>
          <w:color w:val="auto"/>
          <w:sz w:val="28"/>
          <w:szCs w:val="28"/>
          <w:highlight w:val="none"/>
          <w:lang w:eastAsia="zh-CN"/>
        </w:rPr>
        <w:t>（四）确保消防通道畅通无阻，便于消防车通行和作业。</w:t>
      </w:r>
    </w:p>
    <w:p w14:paraId="2AFAF8B9">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（五）</w:t>
      </w:r>
      <w:r>
        <w:rPr>
          <w:rFonts w:hint="eastAsia"/>
          <w:color w:val="auto"/>
          <w:highlight w:val="none"/>
          <w:lang w:val="en-US" w:eastAsia="zh-CN"/>
        </w:rPr>
        <w:t>公共</w:t>
      </w:r>
      <w:r>
        <w:rPr>
          <w:rFonts w:hint="eastAsia"/>
          <w:color w:val="auto"/>
          <w:highlight w:val="none"/>
          <w:lang w:eastAsia="zh-CN"/>
        </w:rPr>
        <w:t>场所</w:t>
      </w:r>
      <w:r>
        <w:rPr>
          <w:rFonts w:hint="eastAsia"/>
          <w:color w:val="auto"/>
          <w:highlight w:val="none"/>
          <w:lang w:val="en-US" w:eastAsia="zh-CN"/>
        </w:rPr>
        <w:t>如宗祠、庙、公园、广场、绿地等</w:t>
      </w:r>
      <w:r>
        <w:rPr>
          <w:rFonts w:hint="eastAsia"/>
          <w:color w:val="auto"/>
          <w:highlight w:val="none"/>
          <w:lang w:eastAsia="zh-CN"/>
        </w:rPr>
        <w:t>应配备相应的</w:t>
      </w:r>
      <w:r>
        <w:rPr>
          <w:rFonts w:hint="eastAsia"/>
          <w:color w:val="auto"/>
          <w:highlight w:val="none"/>
          <w:lang w:val="en-US" w:eastAsia="zh-CN"/>
        </w:rPr>
        <w:t>消防</w:t>
      </w:r>
      <w:r>
        <w:rPr>
          <w:rFonts w:hint="eastAsia"/>
          <w:color w:val="auto"/>
          <w:highlight w:val="none"/>
          <w:lang w:eastAsia="zh-CN"/>
        </w:rPr>
        <w:t>设施，包括室外消火栓、灭火器材等</w:t>
      </w:r>
      <w:r>
        <w:rPr>
          <w:color w:val="auto"/>
          <w:highlight w:val="none"/>
          <w:lang w:eastAsia="zh-CN"/>
        </w:rPr>
        <w:t>。</w:t>
      </w:r>
    </w:p>
    <w:p w14:paraId="7737E43F">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4" w:name="_bookmark14"/>
      <w:bookmarkEnd w:id="24"/>
      <w:r>
        <w:rPr>
          <w:rFonts w:ascii="微软雅黑" w:hAnsi="微软雅黑" w:eastAsia="微软雅黑" w:cs="微软雅黑"/>
          <w:b/>
          <w:bCs/>
          <w:color w:val="auto"/>
          <w:sz w:val="30"/>
          <w:szCs w:val="30"/>
          <w:highlight w:val="none"/>
          <w:lang w:eastAsia="zh-CN"/>
        </w:rPr>
        <w:t>第五节 乡村产业用地布局</w:t>
      </w:r>
    </w:p>
    <w:p w14:paraId="0DD66044">
      <w:pPr>
        <w:pStyle w:val="11"/>
        <w:spacing w:line="360" w:lineRule="auto"/>
        <w:ind w:left="550" w:leftChars="250" w:right="110" w:rightChars="50"/>
        <w:rPr>
          <w:color w:val="auto"/>
          <w:highlight w:val="none"/>
          <w:lang w:eastAsia="zh-CN"/>
        </w:rPr>
      </w:pPr>
      <w:r>
        <w:rPr>
          <w:rFonts w:hint="eastAsia" w:ascii="微软雅黑" w:hAnsi="微软雅黑" w:eastAsia="微软雅黑"/>
          <w:b/>
          <w:color w:val="auto"/>
          <w:highlight w:val="none"/>
          <w:lang w:eastAsia="zh-CN"/>
        </w:rPr>
        <w:t>第三十</w:t>
      </w:r>
      <w:r>
        <w:rPr>
          <w:rFonts w:hint="eastAsia" w:ascii="微软雅黑" w:hAnsi="微软雅黑" w:eastAsia="微软雅黑"/>
          <w:b/>
          <w:color w:val="auto"/>
          <w:sz w:val="28"/>
          <w:szCs w:val="28"/>
          <w:highlight w:val="none"/>
          <w:lang w:val="en-US" w:eastAsia="zh-CN"/>
        </w:rPr>
        <w:t>五</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乡村产业负面清单：</w:t>
      </w:r>
    </w:p>
    <w:p w14:paraId="1B82B851">
      <w:pPr>
        <w:pStyle w:val="11"/>
        <w:spacing w:line="360" w:lineRule="auto"/>
        <w:ind w:left="110" w:leftChars="50" w:right="110" w:rightChars="50" w:firstLine="560" w:firstLineChars="200"/>
        <w:rPr>
          <w:color w:val="auto"/>
          <w:highlight w:val="none"/>
          <w:lang w:eastAsia="zh-CN"/>
        </w:rPr>
      </w:pPr>
      <w:r>
        <w:rPr>
          <w:rFonts w:hint="eastAsia"/>
          <w:color w:val="auto"/>
          <w:highlight w:val="none"/>
          <w:lang w:eastAsia="zh-CN"/>
        </w:rPr>
        <w:t>（一）危险化学品及其相关产物的生产、制造；</w:t>
      </w:r>
    </w:p>
    <w:p w14:paraId="0B50F1BE">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（二）商品住宅、别墅、酒店、公寓等房地产开发项目；</w:t>
      </w:r>
    </w:p>
    <w:p w14:paraId="3B56C1BE">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（三）污染类项目（含高污染、高耗能、破坏生态环境的项目）；</w:t>
      </w:r>
    </w:p>
    <w:p w14:paraId="3CA13259">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（四）占用永久基本农田、生态保护红线、突破《</w:t>
      </w:r>
      <w:r>
        <w:rPr>
          <w:rFonts w:hint="eastAsia"/>
          <w:color w:val="auto"/>
          <w:highlight w:val="none"/>
          <w:lang w:val="en-US" w:eastAsia="zh-CN"/>
        </w:rPr>
        <w:t>柳州市</w:t>
      </w:r>
      <w:r>
        <w:rPr>
          <w:rFonts w:hint="eastAsia"/>
          <w:color w:val="auto"/>
          <w:highlight w:val="none"/>
          <w:lang w:eastAsia="zh-CN"/>
        </w:rPr>
        <w:t>国土空间总体规划》约束条件的项目；</w:t>
      </w:r>
    </w:p>
    <w:p w14:paraId="3FE0CACA">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（五）用地规模超过30亩、工业化程度高、分散布局配套设施成本高的产业项目；</w:t>
      </w:r>
    </w:p>
    <w:p w14:paraId="2DD07037">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（六）具有一定规模的农产品加工宜在</w:t>
      </w:r>
      <w:r>
        <w:rPr>
          <w:rFonts w:hint="eastAsia"/>
          <w:color w:val="auto"/>
          <w:highlight w:val="none"/>
          <w:lang w:val="en-US" w:eastAsia="zh-CN"/>
        </w:rPr>
        <w:t>城区</w:t>
      </w:r>
      <w:r>
        <w:rPr>
          <w:rFonts w:hint="eastAsia"/>
          <w:color w:val="auto"/>
          <w:highlight w:val="none"/>
          <w:lang w:eastAsia="zh-CN"/>
        </w:rPr>
        <w:t>或有条件的乡镇城镇开发边界</w:t>
      </w:r>
    </w:p>
    <w:p w14:paraId="6A0BE920">
      <w:pPr>
        <w:pStyle w:val="11"/>
        <w:spacing w:line="360" w:lineRule="auto"/>
        <w:ind w:left="110" w:leftChars="50" w:right="110" w:rightChars="50" w:firstLine="560" w:firstLineChars="200"/>
        <w:rPr>
          <w:color w:val="auto"/>
          <w:highlight w:val="none"/>
          <w:lang w:eastAsia="zh-CN"/>
        </w:rPr>
      </w:pPr>
      <w:r>
        <w:rPr>
          <w:rFonts w:hint="eastAsia"/>
          <w:color w:val="auto"/>
          <w:highlight w:val="none"/>
          <w:lang w:eastAsia="zh-CN"/>
        </w:rPr>
        <w:t>内集中布局的项目；</w:t>
      </w:r>
    </w:p>
    <w:p w14:paraId="363C374E">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（七）（产业项目准入负面清单详见附表四</w:t>
      </w:r>
      <w:r>
        <w:rPr>
          <w:color w:val="auto"/>
          <w:highlight w:val="none"/>
          <w:lang w:eastAsia="zh-CN"/>
        </w:rPr>
        <w:t>）</w:t>
      </w:r>
    </w:p>
    <w:p w14:paraId="3F226CE6">
      <w:pPr>
        <w:pStyle w:val="11"/>
        <w:spacing w:line="360" w:lineRule="auto"/>
        <w:ind w:left="110" w:leftChars="50" w:right="110" w:rightChars="50" w:firstLine="560" w:firstLineChars="200"/>
        <w:rPr>
          <w:color w:val="auto"/>
          <w:spacing w:val="-1"/>
          <w:highlight w:val="none"/>
          <w:lang w:eastAsia="zh-CN"/>
        </w:rPr>
      </w:pPr>
      <w:r>
        <w:rPr>
          <w:rFonts w:hint="eastAsia" w:ascii="微软雅黑" w:hAnsi="微软雅黑" w:eastAsia="微软雅黑"/>
          <w:b/>
          <w:color w:val="auto"/>
          <w:highlight w:val="none"/>
          <w:lang w:eastAsia="zh-CN"/>
        </w:rPr>
        <w:t>第三十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 xml:space="preserve">条 </w:t>
      </w:r>
      <w:r>
        <w:rPr>
          <w:rFonts w:hint="eastAsia"/>
          <w:color w:val="auto"/>
          <w:spacing w:val="-13"/>
          <w:highlight w:val="none"/>
          <w:lang w:eastAsia="zh-CN"/>
        </w:rPr>
        <w:t>除少量必需的农产品生产加工外，原则上不在农村地区新增安排工业用地。乡村产业准入清单：</w:t>
      </w:r>
    </w:p>
    <w:p w14:paraId="5EB42806">
      <w:pPr>
        <w:pStyle w:val="11"/>
        <w:spacing w:line="360" w:lineRule="auto"/>
        <w:ind w:left="110" w:leftChars="50" w:right="110" w:rightChars="50" w:firstLine="508" w:firstLineChars="200"/>
        <w:rPr>
          <w:rFonts w:hint="eastAsia"/>
          <w:color w:val="auto"/>
          <w:spacing w:val="-13"/>
          <w:highlight w:val="none"/>
          <w:lang w:eastAsia="zh-CN"/>
        </w:rPr>
      </w:pPr>
      <w:r>
        <w:rPr>
          <w:rFonts w:hint="eastAsia"/>
          <w:color w:val="auto"/>
          <w:spacing w:val="-13"/>
          <w:highlight w:val="none"/>
          <w:lang w:eastAsia="zh-CN"/>
        </w:rPr>
        <w:t>（一）直接服务乡村振兴和农村生产生活的项目，包括：</w:t>
      </w:r>
    </w:p>
    <w:p w14:paraId="40705EA6">
      <w:pPr>
        <w:pStyle w:val="11"/>
        <w:spacing w:line="360" w:lineRule="auto"/>
        <w:ind w:left="110" w:leftChars="50" w:right="110" w:rightChars="50" w:firstLine="508" w:firstLineChars="200"/>
        <w:rPr>
          <w:rFonts w:hint="eastAsia"/>
          <w:color w:val="auto"/>
          <w:spacing w:val="-13"/>
          <w:highlight w:val="none"/>
          <w:lang w:eastAsia="zh-CN"/>
        </w:rPr>
      </w:pPr>
      <w:r>
        <w:rPr>
          <w:rFonts w:hint="eastAsia"/>
          <w:color w:val="auto"/>
          <w:spacing w:val="-13"/>
          <w:highlight w:val="none"/>
          <w:lang w:eastAsia="zh-CN"/>
        </w:rPr>
        <w:t>（1）农产品初加工、仓储保鲜冷链、产地低温直销配送；</w:t>
      </w:r>
    </w:p>
    <w:p w14:paraId="31EBD26F">
      <w:pPr>
        <w:pStyle w:val="11"/>
        <w:spacing w:line="360" w:lineRule="auto"/>
        <w:ind w:left="110" w:leftChars="50" w:right="110" w:rightChars="50" w:firstLine="508" w:firstLineChars="200"/>
        <w:rPr>
          <w:rFonts w:hint="eastAsia"/>
          <w:color w:val="auto"/>
          <w:spacing w:val="-13"/>
          <w:highlight w:val="none"/>
          <w:lang w:eastAsia="zh-CN"/>
        </w:rPr>
      </w:pPr>
      <w:r>
        <w:rPr>
          <w:rFonts w:hint="eastAsia"/>
          <w:color w:val="auto"/>
          <w:spacing w:val="-13"/>
          <w:highlight w:val="none"/>
          <w:lang w:eastAsia="zh-CN"/>
        </w:rPr>
        <w:t>（2）农村电子商务、休闲观光旅游配套设施（需符合生态环保要求）；</w:t>
      </w:r>
    </w:p>
    <w:p w14:paraId="3EF4B4C8">
      <w:pPr>
        <w:pStyle w:val="11"/>
        <w:spacing w:line="360" w:lineRule="auto"/>
        <w:ind w:left="110" w:leftChars="50" w:right="110" w:rightChars="50" w:firstLine="508" w:firstLineChars="200"/>
        <w:rPr>
          <w:rFonts w:hint="eastAsia"/>
          <w:color w:val="auto"/>
          <w:spacing w:val="-13"/>
          <w:highlight w:val="none"/>
          <w:lang w:eastAsia="zh-CN"/>
        </w:rPr>
      </w:pPr>
      <w:r>
        <w:rPr>
          <w:rFonts w:hint="eastAsia"/>
          <w:color w:val="auto"/>
          <w:spacing w:val="-13"/>
          <w:highlight w:val="none"/>
          <w:lang w:eastAsia="zh-CN"/>
        </w:rPr>
        <w:t>（3）种植养殖业直接服务设施。</w:t>
      </w:r>
    </w:p>
    <w:p w14:paraId="6548C09D">
      <w:pPr>
        <w:pStyle w:val="11"/>
        <w:spacing w:line="360" w:lineRule="auto"/>
        <w:ind w:left="110" w:leftChars="50" w:right="110" w:rightChars="50" w:firstLine="508" w:firstLineChars="200"/>
        <w:rPr>
          <w:rFonts w:hint="eastAsia"/>
          <w:color w:val="auto"/>
          <w:spacing w:val="-13"/>
          <w:highlight w:val="none"/>
          <w:lang w:eastAsia="zh-CN"/>
        </w:rPr>
      </w:pPr>
      <w:r>
        <w:rPr>
          <w:rFonts w:hint="eastAsia"/>
          <w:color w:val="auto"/>
          <w:spacing w:val="-13"/>
          <w:highlight w:val="none"/>
          <w:lang w:eastAsia="zh-CN"/>
        </w:rPr>
        <w:t>（二）允许项目用地规模不超过 30 亩的乡村产业项目在行政村村庄建设边界内布局，利用农村本地资源开展农产品初加工、发展休闲观光旅游而必需的配套设施建设，可在不占用永久基本农田和生态保护红线、不突破国土空间规划建设用地指标等约束条件、不破坏生态环境和乡村风貌、依照水源保护区相关法律法规的前提下，在村庄建设边界外安排少量建设用地。</w:t>
      </w:r>
    </w:p>
    <w:p w14:paraId="26B88AEC">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highlight w:val="none"/>
          <w:lang w:val="en-US" w:eastAsia="zh-CN"/>
        </w:rPr>
        <w:t>三</w:t>
      </w:r>
      <w:r>
        <w:rPr>
          <w:rFonts w:hint="eastAsia" w:ascii="微软雅黑" w:hAnsi="微软雅黑" w:eastAsia="微软雅黑"/>
          <w:b/>
          <w:color w:val="auto"/>
          <w:highlight w:val="none"/>
          <w:lang w:eastAsia="zh-CN"/>
        </w:rPr>
        <w:t>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乡村汽车加油加气站宜靠近公路布局，但不宜选在公路交叉路口附近。汽车加油加气站的选址还应符合有关规划、环境保护和防火安全的要求，并应选在交通便利、用户使用方便的地点</w:t>
      </w:r>
      <w:r>
        <w:rPr>
          <w:color w:val="auto"/>
          <w:spacing w:val="-3"/>
          <w:highlight w:val="none"/>
          <w:lang w:eastAsia="zh-CN"/>
        </w:rPr>
        <w:t>。</w:t>
      </w:r>
    </w:p>
    <w:p w14:paraId="7A872215">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5" w:name="_bookmark15"/>
      <w:bookmarkEnd w:id="25"/>
      <w:r>
        <w:rPr>
          <w:rFonts w:ascii="微软雅黑" w:hAnsi="微软雅黑" w:eastAsia="微软雅黑" w:cs="微软雅黑"/>
          <w:b/>
          <w:bCs/>
          <w:color w:val="auto"/>
          <w:sz w:val="30"/>
          <w:szCs w:val="30"/>
          <w:highlight w:val="none"/>
          <w:lang w:eastAsia="zh-CN"/>
        </w:rPr>
        <w:t>第六节 其他用地布局</w:t>
      </w:r>
    </w:p>
    <w:p w14:paraId="2D33871A">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w:t>
      </w:r>
      <w:r>
        <w:rPr>
          <w:rFonts w:hint="eastAsia" w:ascii="微软雅黑" w:hAnsi="微软雅黑" w:eastAsia="微软雅黑"/>
          <w:b/>
          <w:color w:val="auto"/>
          <w:sz w:val="28"/>
          <w:szCs w:val="28"/>
          <w:highlight w:val="none"/>
          <w:lang w:val="en-US" w:eastAsia="zh-CN"/>
        </w:rPr>
        <w:t>三</w:t>
      </w:r>
      <w:r>
        <w:rPr>
          <w:rFonts w:hint="eastAsia" w:ascii="微软雅黑" w:hAnsi="微软雅黑" w:eastAsia="微软雅黑"/>
          <w:b/>
          <w:color w:val="auto"/>
          <w:sz w:val="28"/>
          <w:szCs w:val="28"/>
          <w:highlight w:val="none"/>
          <w:lang w:eastAsia="zh-CN"/>
        </w:rPr>
        <w:t>十</w:t>
      </w:r>
      <w:r>
        <w:rPr>
          <w:rFonts w:hint="eastAsia" w:ascii="微软雅黑" w:hAnsi="微软雅黑" w:eastAsia="微软雅黑"/>
          <w:b/>
          <w:color w:val="auto"/>
          <w:sz w:val="28"/>
          <w:szCs w:val="28"/>
          <w:highlight w:val="none"/>
          <w:lang w:val="en-US" w:eastAsia="zh-CN"/>
        </w:rPr>
        <w:t>八条</w:t>
      </w:r>
      <w:r>
        <w:rPr>
          <w:rFonts w:hint="eastAsia" w:ascii="微软雅黑" w:hAnsi="微软雅黑" w:eastAsia="微软雅黑"/>
          <w:b/>
          <w:color w:val="auto"/>
          <w:sz w:val="28"/>
          <w:szCs w:val="28"/>
          <w:highlight w:val="none"/>
          <w:lang w:eastAsia="zh-CN"/>
        </w:rPr>
        <w:t xml:space="preserve"> </w:t>
      </w:r>
      <w:r>
        <w:rPr>
          <w:color w:val="auto"/>
          <w:sz w:val="28"/>
          <w:szCs w:val="28"/>
          <w:highlight w:val="none"/>
          <w:lang w:eastAsia="zh-CN"/>
        </w:rPr>
        <w:t>设施农用地布局通用要求如下：</w:t>
      </w:r>
    </w:p>
    <w:p w14:paraId="2CD2B382">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符合国土空间规划和农业产业发展规划，选址不得在畜禽养殖禁养区内</w:t>
      </w:r>
      <w:r>
        <w:rPr>
          <w:color w:val="auto"/>
          <w:highlight w:val="none"/>
          <w:lang w:eastAsia="zh-CN"/>
        </w:rPr>
        <w:t>。</w:t>
      </w:r>
    </w:p>
    <w:p w14:paraId="2A3D4B82">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（二</w:t>
      </w:r>
      <w:r>
        <w:rPr>
          <w:color w:val="auto"/>
          <w:spacing w:val="-20"/>
          <w:highlight w:val="none"/>
          <w:lang w:eastAsia="zh-CN"/>
        </w:rPr>
        <w:t>）</w:t>
      </w:r>
      <w:r>
        <w:rPr>
          <w:rFonts w:hint="eastAsia"/>
          <w:color w:val="auto"/>
          <w:highlight w:val="none"/>
          <w:lang w:eastAsia="zh-CN"/>
        </w:rPr>
        <w:t>在保护耕地和区域生态环境、集约节约用地的前提下，积极引导设施建设合理选址，尽量利用荒山荒坡、滩涂、坑塘水面以及闲置建设用地，应避免占用耕地，要积极通过耕作层土壤剥离利用、架空或预制板铺面隔离等技术措施，尽量减少对耕作层的破坏</w:t>
      </w:r>
      <w:r>
        <w:rPr>
          <w:color w:val="auto"/>
          <w:highlight w:val="none"/>
          <w:lang w:eastAsia="zh-CN"/>
        </w:rPr>
        <w:t>。</w:t>
      </w:r>
    </w:p>
    <w:p w14:paraId="0C86866F">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（三</w:t>
      </w:r>
      <w:r>
        <w:rPr>
          <w:color w:val="auto"/>
          <w:spacing w:val="-29"/>
          <w:highlight w:val="none"/>
          <w:lang w:eastAsia="zh-CN"/>
        </w:rPr>
        <w:t>）</w:t>
      </w:r>
      <w:r>
        <w:rPr>
          <w:rFonts w:hint="eastAsia"/>
          <w:color w:val="auto"/>
          <w:spacing w:val="-6"/>
          <w:highlight w:val="none"/>
          <w:lang w:eastAsia="zh-CN"/>
        </w:rPr>
        <w:t>严格控制畜禽养殖设施、水产养殖设施和破坏耕作层的种植业设施等农业设施建设用地使用一般耕地，确需使用的，应经批准并符合相关标准，落实耕地“</w:t>
      </w:r>
      <w:r>
        <w:rPr>
          <w:rFonts w:hint="default"/>
          <w:color w:val="auto"/>
          <w:spacing w:val="-6"/>
          <w:highlight w:val="none"/>
          <w:lang w:val="en-US" w:eastAsia="zh-CN"/>
        </w:rPr>
        <w:t>占补平衡</w:t>
      </w:r>
      <w:r>
        <w:rPr>
          <w:rFonts w:hint="eastAsia"/>
          <w:color w:val="auto"/>
          <w:spacing w:val="-6"/>
          <w:highlight w:val="none"/>
          <w:lang w:eastAsia="zh-CN"/>
        </w:rPr>
        <w:t>”</w:t>
      </w:r>
      <w:r>
        <w:rPr>
          <w:color w:val="auto"/>
          <w:spacing w:val="-2"/>
          <w:highlight w:val="none"/>
          <w:lang w:eastAsia="zh-CN"/>
        </w:rPr>
        <w:t>。</w:t>
      </w:r>
    </w:p>
    <w:p w14:paraId="1FDFF963">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（四）</w:t>
      </w:r>
      <w:r>
        <w:rPr>
          <w:rFonts w:hint="eastAsia"/>
          <w:color w:val="auto"/>
          <w:spacing w:val="-1"/>
          <w:highlight w:val="none"/>
          <w:lang w:eastAsia="zh-CN"/>
        </w:rPr>
        <w:t>新建、改扩建规模化畜禽养殖场与饮用水水源保护区、风景名胜区、自然保护区的核心区和缓冲区以及城镇居民区、农村居民点等人口集中区域的最小距离不得小于500 米；畜禽养殖设施选址应在畜禽养殖禁养区常年主导风向的下风向或侧风向处</w:t>
      </w:r>
      <w:r>
        <w:rPr>
          <w:color w:val="auto"/>
          <w:spacing w:val="-5"/>
          <w:highlight w:val="none"/>
          <w:lang w:eastAsia="zh-CN"/>
        </w:rPr>
        <w:t>。</w:t>
      </w:r>
    </w:p>
    <w:p w14:paraId="6E6F131E">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w:t>
      </w:r>
      <w:r>
        <w:rPr>
          <w:rFonts w:hint="eastAsia" w:ascii="微软雅黑" w:hAnsi="微软雅黑" w:eastAsia="微软雅黑"/>
          <w:b/>
          <w:color w:val="auto"/>
          <w:sz w:val="28"/>
          <w:szCs w:val="28"/>
          <w:highlight w:val="none"/>
          <w:lang w:val="en-US" w:eastAsia="zh-CN"/>
        </w:rPr>
        <w:t>三</w:t>
      </w:r>
      <w:r>
        <w:rPr>
          <w:rFonts w:hint="eastAsia" w:ascii="微软雅黑" w:hAnsi="微软雅黑" w:eastAsia="微软雅黑"/>
          <w:b/>
          <w:color w:val="auto"/>
          <w:sz w:val="28"/>
          <w:szCs w:val="28"/>
          <w:highlight w:val="none"/>
          <w:lang w:eastAsia="zh-CN"/>
        </w:rPr>
        <w:t>十</w:t>
      </w:r>
      <w:r>
        <w:rPr>
          <w:rFonts w:hint="eastAsia" w:ascii="微软雅黑" w:hAnsi="微软雅黑" w:eastAsia="微软雅黑"/>
          <w:b/>
          <w:color w:val="auto"/>
          <w:sz w:val="28"/>
          <w:szCs w:val="28"/>
          <w:highlight w:val="none"/>
          <w:lang w:val="en-US" w:eastAsia="zh-CN"/>
        </w:rPr>
        <w:t>九</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矿业用地布局通用要求如下：</w:t>
      </w:r>
    </w:p>
    <w:p w14:paraId="363D6308">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采矿项目用地应根据国土空间规划进行选址，位于国土空间规划确定的城市和村庄、集镇建设用地范围内的建设项目用地</w:t>
      </w:r>
      <w:r>
        <w:rPr>
          <w:color w:val="auto"/>
          <w:highlight w:val="none"/>
          <w:lang w:eastAsia="zh-CN"/>
        </w:rPr>
        <w:t>。</w:t>
      </w:r>
    </w:p>
    <w:p w14:paraId="6C0CEA91">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（二</w:t>
      </w:r>
      <w:r>
        <w:rPr>
          <w:color w:val="auto"/>
          <w:spacing w:val="-29"/>
          <w:highlight w:val="none"/>
          <w:lang w:eastAsia="zh-CN"/>
        </w:rPr>
        <w:t>）</w:t>
      </w:r>
      <w:r>
        <w:rPr>
          <w:rFonts w:hint="eastAsia"/>
          <w:color w:val="auto"/>
          <w:spacing w:val="-4"/>
          <w:highlight w:val="none"/>
          <w:lang w:eastAsia="zh-CN"/>
        </w:rPr>
        <w:t>采矿项目布局应在符合能源矿产资源安全底线管控要求前提下，合理安排采矿项目新增用地布局、规模和时序，对采矿项目新增建设用地和存量采矿用地复垦修复作出空间安排</w:t>
      </w:r>
      <w:r>
        <w:rPr>
          <w:color w:val="auto"/>
          <w:spacing w:val="-3"/>
          <w:highlight w:val="none"/>
          <w:lang w:eastAsia="zh-CN"/>
        </w:rPr>
        <w:t>。</w:t>
      </w:r>
    </w:p>
    <w:p w14:paraId="468FB383">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color w:val="auto"/>
          <w:spacing w:val="-20"/>
          <w:highlight w:val="none"/>
          <w:lang w:eastAsia="zh-CN"/>
        </w:rPr>
        <w:t>）</w:t>
      </w:r>
      <w:r>
        <w:rPr>
          <w:rFonts w:hint="eastAsia"/>
          <w:color w:val="auto"/>
          <w:highlight w:val="none"/>
          <w:lang w:eastAsia="zh-CN"/>
        </w:rPr>
        <w:t>矿业开采建设应依据采矿权规划控制数量、资源储量条件、产业发展方向、基础设施建设和市场需求等要素，优先选择孤峰、废弃矿山、整合矿山</w:t>
      </w:r>
      <w:r>
        <w:rPr>
          <w:color w:val="auto"/>
          <w:spacing w:val="-6"/>
          <w:highlight w:val="none"/>
          <w:lang w:eastAsia="zh-CN"/>
        </w:rPr>
        <w:t>。</w:t>
      </w:r>
    </w:p>
    <w:p w14:paraId="11E685BB">
      <w:pPr>
        <w:pStyle w:val="11"/>
        <w:spacing w:line="360" w:lineRule="auto"/>
        <w:ind w:left="110" w:leftChars="50" w:right="110" w:rightChars="50" w:firstLine="560" w:firstLineChars="200"/>
        <w:rPr>
          <w:color w:val="auto"/>
          <w:spacing w:val="-14"/>
          <w:highlight w:val="none"/>
          <w:lang w:eastAsia="zh-CN"/>
        </w:rPr>
      </w:pPr>
      <w:r>
        <w:rPr>
          <w:color w:val="auto"/>
          <w:highlight w:val="none"/>
          <w:lang w:eastAsia="zh-CN"/>
        </w:rPr>
        <w:t>（四</w:t>
      </w:r>
      <w:r>
        <w:rPr>
          <w:color w:val="auto"/>
          <w:spacing w:val="-113"/>
          <w:highlight w:val="none"/>
          <w:lang w:eastAsia="zh-CN"/>
        </w:rPr>
        <w:t>）</w:t>
      </w:r>
      <w:r>
        <w:rPr>
          <w:rFonts w:hint="eastAsia"/>
          <w:color w:val="auto"/>
          <w:spacing w:val="-14"/>
          <w:highlight w:val="none"/>
          <w:lang w:eastAsia="zh-CN"/>
        </w:rPr>
        <w:t>矿业开采布局应结合产业项目工程建设、土地整治、园区建设等需要，科学合理设置集中开采区、开采规划区块，引导矿产资源集中开采、规模开采</w:t>
      </w:r>
      <w:r>
        <w:rPr>
          <w:color w:val="auto"/>
          <w:spacing w:val="-14"/>
          <w:highlight w:val="none"/>
          <w:lang w:eastAsia="zh-CN"/>
        </w:rPr>
        <w:t>。</w:t>
      </w:r>
    </w:p>
    <w:p w14:paraId="5ED56F91">
      <w:pPr>
        <w:pStyle w:val="11"/>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cs="仿宋"/>
          <w:b/>
          <w:color w:val="auto"/>
          <w:sz w:val="28"/>
          <w:szCs w:val="28"/>
          <w:highlight w:val="none"/>
          <w:lang w:val="en-US" w:eastAsia="zh-CN" w:bidi="ar-SA"/>
        </w:rPr>
        <w:t>第四十条</w:t>
      </w:r>
      <w:r>
        <w:rPr>
          <w:rFonts w:hint="eastAsia"/>
          <w:color w:val="auto"/>
          <w:highlight w:val="none"/>
          <w:lang w:val="en-US" w:eastAsia="zh-CN"/>
        </w:rPr>
        <w:t xml:space="preserve"> </w:t>
      </w:r>
      <w:r>
        <w:rPr>
          <w:rFonts w:hint="eastAsia"/>
          <w:color w:val="auto"/>
          <w:sz w:val="28"/>
          <w:szCs w:val="28"/>
          <w:highlight w:val="none"/>
          <w:lang w:val="en-US" w:eastAsia="zh-CN"/>
        </w:rPr>
        <w:t>其他</w:t>
      </w:r>
      <w:r>
        <w:rPr>
          <w:color w:val="auto"/>
          <w:sz w:val="28"/>
          <w:szCs w:val="28"/>
          <w:highlight w:val="none"/>
          <w:lang w:eastAsia="zh-CN"/>
        </w:rPr>
        <w:t>用地布局通用要求如下</w:t>
      </w:r>
      <w:r>
        <w:rPr>
          <w:rFonts w:hint="eastAsia"/>
          <w:color w:val="auto"/>
          <w:sz w:val="28"/>
          <w:szCs w:val="28"/>
          <w:highlight w:val="none"/>
          <w:lang w:eastAsia="zh-CN"/>
        </w:rPr>
        <w:t>：</w:t>
      </w:r>
    </w:p>
    <w:p w14:paraId="533077B4">
      <w:pPr>
        <w:pStyle w:val="11"/>
        <w:spacing w:line="360" w:lineRule="auto"/>
        <w:ind w:left="110" w:leftChars="50" w:right="110" w:rightChars="50" w:firstLine="560" w:firstLineChars="200"/>
        <w:rPr>
          <w:rFonts w:hint="default"/>
          <w:color w:val="auto"/>
          <w:highlight w:val="none"/>
          <w:lang w:val="en-US" w:eastAsia="zh-CN"/>
        </w:rPr>
      </w:pPr>
      <w:r>
        <w:rPr>
          <w:rFonts w:hint="default"/>
          <w:color w:val="auto"/>
          <w:highlight w:val="none"/>
          <w:lang w:val="en-US" w:eastAsia="zh-CN"/>
        </w:rPr>
        <w:t>乡村地区特殊选址需求的项目，如殡葬设施、特殊教育学校、监狱等，</w:t>
      </w:r>
      <w:r>
        <w:rPr>
          <w:rFonts w:hint="eastAsia"/>
          <w:color w:val="auto"/>
          <w:highlight w:val="none"/>
          <w:lang w:val="en-US" w:eastAsia="zh-CN"/>
        </w:rPr>
        <w:t>应</w:t>
      </w:r>
      <w:r>
        <w:rPr>
          <w:rFonts w:hint="default"/>
          <w:color w:val="auto"/>
          <w:highlight w:val="none"/>
          <w:lang w:val="en-US" w:eastAsia="zh-CN"/>
        </w:rPr>
        <w:t>符合上位国空及相关专项规划的要求。</w:t>
      </w:r>
    </w:p>
    <w:p w14:paraId="53A501F1">
      <w:pPr>
        <w:pStyle w:val="3"/>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2"/>
          <w:szCs w:val="32"/>
          <w:highlight w:val="none"/>
          <w:lang w:eastAsia="zh-CN"/>
        </w:rPr>
      </w:pPr>
      <w:bookmarkStart w:id="26" w:name="_bookmark16"/>
      <w:bookmarkEnd w:id="26"/>
      <w:bookmarkStart w:id="27" w:name="_Toc24024"/>
      <w:r>
        <w:rPr>
          <w:rFonts w:ascii="微软雅黑" w:hAnsi="微软雅黑" w:eastAsia="微软雅黑" w:cs="微软雅黑"/>
          <w:b/>
          <w:bCs/>
          <w:color w:val="auto"/>
          <w:sz w:val="32"/>
          <w:szCs w:val="32"/>
          <w:highlight w:val="none"/>
          <w:lang w:eastAsia="zh-CN"/>
        </w:rPr>
        <w:t>第五章 建设控制</w:t>
      </w:r>
      <w:bookmarkEnd w:id="27"/>
    </w:p>
    <w:p w14:paraId="7C485E6D">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8" w:name="_bookmark17"/>
      <w:bookmarkEnd w:id="28"/>
      <w:r>
        <w:rPr>
          <w:rFonts w:ascii="微软雅黑" w:hAnsi="微软雅黑" w:eastAsia="微软雅黑" w:cs="微软雅黑"/>
          <w:b/>
          <w:bCs/>
          <w:color w:val="auto"/>
          <w:sz w:val="30"/>
          <w:szCs w:val="30"/>
          <w:highlight w:val="none"/>
          <w:lang w:eastAsia="zh-CN"/>
        </w:rPr>
        <w:t>第一节 建设标准</w:t>
      </w:r>
    </w:p>
    <w:p w14:paraId="7F5B80AB">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第四十</w:t>
      </w:r>
      <w:r>
        <w:rPr>
          <w:rFonts w:hint="eastAsia" w:ascii="微软雅黑" w:hAnsi="微软雅黑" w:eastAsia="微软雅黑"/>
          <w:b/>
          <w:color w:val="auto"/>
          <w:sz w:val="28"/>
          <w:szCs w:val="28"/>
          <w:highlight w:val="none"/>
          <w:lang w:val="en-US" w:eastAsia="zh-CN"/>
        </w:rPr>
        <w:t>一</w:t>
      </w:r>
      <w:r>
        <w:rPr>
          <w:rFonts w:hint="eastAsia" w:ascii="微软雅黑" w:hAnsi="微软雅黑" w:eastAsia="微软雅黑"/>
          <w:b/>
          <w:color w:val="auto"/>
          <w:sz w:val="28"/>
          <w:szCs w:val="28"/>
          <w:highlight w:val="none"/>
          <w:lang w:eastAsia="zh-CN"/>
        </w:rPr>
        <w:t xml:space="preserve">条 </w:t>
      </w:r>
      <w:r>
        <w:rPr>
          <w:rFonts w:hint="eastAsia"/>
          <w:color w:val="auto"/>
          <w:sz w:val="28"/>
          <w:szCs w:val="28"/>
          <w:highlight w:val="none"/>
          <w:lang w:eastAsia="zh-CN"/>
        </w:rPr>
        <w:t>村民住房建设的标准应符合以下规定</w:t>
      </w:r>
      <w:r>
        <w:rPr>
          <w:color w:val="auto"/>
          <w:sz w:val="28"/>
          <w:szCs w:val="28"/>
          <w:highlight w:val="none"/>
          <w:lang w:eastAsia="zh-CN"/>
        </w:rPr>
        <w:t>：</w:t>
      </w:r>
    </w:p>
    <w:p w14:paraId="149DCDD9">
      <w:pPr>
        <w:pStyle w:val="11"/>
        <w:spacing w:line="360" w:lineRule="auto"/>
        <w:ind w:left="110" w:leftChars="50" w:right="110" w:rightChars="50" w:firstLine="560" w:firstLineChars="20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一）严格落实农村宅基地“一户一宅”制度，农村村民一户只能拥有一处宅基地，村民住宅只能在确定的宅基地上建设。新增农村宅基地申请条件应符合《广西壮族自治区土地管理条例》、《柳州市农村农民建房“一件事”办事指南》。对历史形成的宅基地面积超标和“一户多宅”等问题要按照有关政策规定分类进行认定和处置。</w:t>
      </w:r>
    </w:p>
    <w:p w14:paraId="649421C5">
      <w:pPr>
        <w:pStyle w:val="11"/>
        <w:spacing w:line="360" w:lineRule="auto"/>
        <w:ind w:left="110" w:leftChars="50" w:right="110" w:rightChars="50" w:firstLine="560" w:firstLineChars="200"/>
        <w:rPr>
          <w:rFonts w:hint="eastAsia"/>
          <w:color w:val="auto"/>
          <w:highlight w:val="none"/>
          <w:lang w:val="en-US" w:eastAsia="zh-CN"/>
        </w:rPr>
      </w:pPr>
      <w:r>
        <w:rPr>
          <w:rFonts w:hint="eastAsia"/>
          <w:color w:val="auto"/>
          <w:highlight w:val="none"/>
          <w:lang w:val="en-US" w:eastAsia="zh-CN"/>
        </w:rPr>
        <w:t>（二）农村村民宅基地面积不得超过100平方米。农村村民应严格按照批准面积和建房标准建设住宅，禁止未批先建、超面积占用宅基地，应符合《广西壮族自治区土地管理条例》、《柳州市农村农民建房“一件事”办事指南》。</w:t>
      </w:r>
    </w:p>
    <w:p w14:paraId="5C63AC54">
      <w:pPr>
        <w:pStyle w:val="11"/>
        <w:spacing w:line="360" w:lineRule="auto"/>
        <w:ind w:left="110" w:leftChars="50" w:right="110" w:rightChars="50" w:firstLine="560" w:firstLineChars="200"/>
        <w:rPr>
          <w:rFonts w:hint="eastAsia"/>
          <w:color w:val="auto"/>
          <w:highlight w:val="none"/>
          <w:lang w:val="en-US" w:eastAsia="zh-CN"/>
        </w:rPr>
      </w:pPr>
      <w:r>
        <w:rPr>
          <w:rFonts w:hint="eastAsia"/>
          <w:color w:val="auto"/>
          <w:highlight w:val="none"/>
          <w:lang w:val="en-US" w:eastAsia="zh-CN"/>
        </w:rPr>
        <w:t>（三）新增农房户均建筑面积在符合《广西壮族自治区乡村规划建设管理条例》、《柳州市农村农民建房“一件事”办事指南》规定的宅基地用地面积前提下，每户建筑面积不得超过300平方米。</w:t>
      </w:r>
    </w:p>
    <w:p w14:paraId="48090BBB">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val="en-US" w:eastAsia="zh-CN"/>
        </w:rPr>
        <w:t>（四）改建、扩建的，原建筑规模已达到或超过前述控制要求的，其批准建筑面积不得超过原不动产权或房产证上注明的建筑面积</w:t>
      </w:r>
      <w:r>
        <w:rPr>
          <w:color w:val="auto"/>
          <w:highlight w:val="none"/>
          <w:lang w:eastAsia="zh-CN"/>
        </w:rPr>
        <w:t>。</w:t>
      </w:r>
    </w:p>
    <w:p w14:paraId="1E13D4CF">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第四十</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 xml:space="preserve">条 </w:t>
      </w:r>
      <w:r>
        <w:rPr>
          <w:color w:val="auto"/>
          <w:highlight w:val="none"/>
          <w:lang w:eastAsia="zh-CN"/>
        </w:rPr>
        <w:t>乡村公共服务设施、市政公用设施建设标准如下：</w:t>
      </w:r>
    </w:p>
    <w:p w14:paraId="79D7D4CC">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供水设施、污水处理设施、供电设施、环卫设施等建设标准应结合乡村人口规模及设施的服务要求，合理确定设计规模和建设标准。</w:t>
      </w:r>
    </w:p>
    <w:p w14:paraId="680BA0E0">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（二</w:t>
      </w:r>
      <w:r>
        <w:rPr>
          <w:color w:val="auto"/>
          <w:spacing w:val="-13"/>
          <w:highlight w:val="none"/>
          <w:lang w:eastAsia="zh-CN"/>
        </w:rPr>
        <w:t>）</w:t>
      </w:r>
      <w:r>
        <w:rPr>
          <w:rFonts w:hint="eastAsia"/>
          <w:color w:val="auto"/>
          <w:spacing w:val="-7"/>
          <w:highlight w:val="none"/>
          <w:lang w:eastAsia="zh-CN"/>
        </w:rPr>
        <w:t>消防设施建设要求：①消防室应配备手抬机动泵、水枪、水带、灭火器、破拆工具等全部或部分消防装备，并设置火警电话和值班人员，有专职、义务或志愿消防队员；②室外消防给水管道的管径不宜小于100 毫米，室外消火栓间距不宜大于120 米，室外消火栓应沿道路设置，并宜靠近十字路口，与房屋外墙距离不宜小于2 米；③消防水池设置容量不宜小于100 立方米；④村民委员会应当组织制定规范村民行为的防火公约，防火公约标注在村庄醒目的位置</w:t>
      </w:r>
      <w:r>
        <w:rPr>
          <w:color w:val="auto"/>
          <w:spacing w:val="-5"/>
          <w:highlight w:val="none"/>
          <w:lang w:eastAsia="zh-CN"/>
        </w:rPr>
        <w:t>。</w:t>
      </w:r>
      <w:r>
        <w:rPr>
          <w:rFonts w:hint="eastAsia"/>
          <w:color w:val="auto"/>
          <w:spacing w:val="-7"/>
          <w:highlight w:val="none"/>
          <w:lang w:eastAsia="zh-CN"/>
        </w:rPr>
        <w:t>⑤严禁在森林防火区进行野外吸烟、野炊、祭祀用火、燃放烟花爆竹等行为。特殊情况需野外用火的，必须经县级人民政府或林业主管部门批准，并采取严格防火措施。</w:t>
      </w:r>
    </w:p>
    <w:p w14:paraId="21279A80">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color w:val="auto"/>
          <w:spacing w:val="-20"/>
          <w:highlight w:val="none"/>
          <w:lang w:eastAsia="zh-CN"/>
        </w:rPr>
        <w:t>）</w:t>
      </w:r>
      <w:r>
        <w:rPr>
          <w:rFonts w:hint="eastAsia"/>
          <w:color w:val="auto"/>
          <w:spacing w:val="-7"/>
          <w:highlight w:val="none"/>
          <w:lang w:eastAsia="zh-CN"/>
        </w:rPr>
        <w:t>其他乡村公共服务设施、市政公用设施建设标准宜参照《社区生活圈规划技术指南》执行。（乡村公共服务设施、市政公用设施配置建议详见附表五</w:t>
      </w:r>
      <w:r>
        <w:rPr>
          <w:color w:val="auto"/>
          <w:highlight w:val="none"/>
          <w:lang w:eastAsia="zh-CN"/>
        </w:rPr>
        <w:t>）</w:t>
      </w:r>
    </w:p>
    <w:p w14:paraId="075EF446">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第四十</w:t>
      </w:r>
      <w:r>
        <w:rPr>
          <w:rFonts w:hint="eastAsia" w:ascii="微软雅黑" w:hAnsi="微软雅黑" w:eastAsia="微软雅黑"/>
          <w:b/>
          <w:color w:val="auto"/>
          <w:sz w:val="28"/>
          <w:szCs w:val="28"/>
          <w:highlight w:val="none"/>
          <w:lang w:val="en-US" w:eastAsia="zh-CN"/>
        </w:rPr>
        <w:t>三</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乡村产业用地建设标准如下：</w:t>
      </w:r>
    </w:p>
    <w:p w14:paraId="60CDD7C0">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color w:val="auto"/>
          <w:spacing w:val="-20"/>
          <w:highlight w:val="none"/>
          <w:lang w:eastAsia="zh-CN"/>
        </w:rPr>
        <w:t>）</w:t>
      </w:r>
      <w:r>
        <w:rPr>
          <w:rFonts w:hint="eastAsia"/>
          <w:color w:val="auto"/>
          <w:spacing w:val="-6"/>
          <w:highlight w:val="none"/>
          <w:lang w:eastAsia="zh-CN"/>
        </w:rPr>
        <w:t>乡村不宜建设大型、中型商业服务业用地，商业服务业设施应结合村庄产业发展需求及村民生活习惯配套完善的商业服务功能，兼顾村民便捷使用</w:t>
      </w:r>
      <w:r>
        <w:rPr>
          <w:color w:val="auto"/>
          <w:spacing w:val="-7"/>
          <w:highlight w:val="none"/>
          <w:lang w:eastAsia="zh-CN"/>
        </w:rPr>
        <w:t>。</w:t>
      </w:r>
    </w:p>
    <w:p w14:paraId="53DAD50A">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（二</w:t>
      </w:r>
      <w:r>
        <w:rPr>
          <w:color w:val="auto"/>
          <w:spacing w:val="-29"/>
          <w:highlight w:val="none"/>
          <w:lang w:eastAsia="zh-CN"/>
        </w:rPr>
        <w:t>）</w:t>
      </w:r>
      <w:r>
        <w:rPr>
          <w:rFonts w:hint="eastAsia"/>
          <w:color w:val="auto"/>
          <w:spacing w:val="-5"/>
          <w:highlight w:val="none"/>
          <w:lang w:eastAsia="zh-CN"/>
        </w:rPr>
        <w:t>乡村地区不宜布置大型工业用地，用地范围内配建的行政办公及生活服务设施用地面积不得大于项目总用地面积的7%，建筑面积不得大于项目总建筑面积的15%。</w:t>
      </w:r>
    </w:p>
    <w:p w14:paraId="0D2BB6E1">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（三）</w:t>
      </w:r>
      <w:r>
        <w:rPr>
          <w:rFonts w:hint="eastAsia"/>
          <w:color w:val="auto"/>
          <w:highlight w:val="none"/>
          <w:lang w:eastAsia="zh-CN"/>
        </w:rPr>
        <w:t>乡村地区不宜布置大型、中型仓储用地，物流仓储用地配套的行政办公、展示展览、交易场所、值班室、宿舍、食堂等设施用地面积占项目总用地面积比例不超过</w:t>
      </w:r>
      <w:r>
        <w:rPr>
          <w:color w:val="auto"/>
          <w:highlight w:val="none"/>
          <w:lang w:eastAsia="zh-CN"/>
        </w:rPr>
        <w:t>10%。</w:t>
      </w:r>
    </w:p>
    <w:p w14:paraId="61138BD6">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（四）</w:t>
      </w:r>
      <w:r>
        <w:rPr>
          <w:rFonts w:hint="eastAsia"/>
          <w:color w:val="auto"/>
          <w:highlight w:val="none"/>
          <w:lang w:eastAsia="zh-CN"/>
        </w:rPr>
        <w:t>乡村产业用地与村民住房、乡村公共服务设施之间存在干扰的应</w:t>
      </w:r>
      <w:r>
        <w:rPr>
          <w:rFonts w:hint="eastAsia"/>
          <w:color w:val="auto"/>
          <w:highlight w:val="none"/>
          <w:lang w:val="en-US" w:eastAsia="zh-CN"/>
        </w:rPr>
        <w:t>保持适当</w:t>
      </w:r>
      <w:r>
        <w:rPr>
          <w:rFonts w:hint="eastAsia"/>
          <w:color w:val="auto"/>
          <w:highlight w:val="none"/>
          <w:lang w:eastAsia="zh-CN"/>
        </w:rPr>
        <w:t>防护隔离</w:t>
      </w:r>
      <w:r>
        <w:rPr>
          <w:rFonts w:hint="eastAsia"/>
          <w:color w:val="auto"/>
          <w:highlight w:val="none"/>
          <w:lang w:val="en-US" w:eastAsia="zh-CN"/>
        </w:rPr>
        <w:t>间距</w:t>
      </w:r>
      <w:r>
        <w:rPr>
          <w:rFonts w:hint="eastAsia"/>
          <w:color w:val="auto"/>
          <w:highlight w:val="none"/>
          <w:lang w:eastAsia="zh-CN"/>
        </w:rPr>
        <w:t>。</w:t>
      </w:r>
    </w:p>
    <w:p w14:paraId="45E87020">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第四十</w:t>
      </w:r>
      <w:r>
        <w:rPr>
          <w:rFonts w:hint="eastAsia" w:ascii="微软雅黑" w:hAnsi="微软雅黑" w:eastAsia="微软雅黑"/>
          <w:b/>
          <w:color w:val="auto"/>
          <w:sz w:val="28"/>
          <w:szCs w:val="28"/>
          <w:highlight w:val="none"/>
          <w:lang w:val="en-US" w:eastAsia="zh-CN"/>
        </w:rPr>
        <w:t>四</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设施农用地建设标准应符合以下要求：</w:t>
      </w:r>
    </w:p>
    <w:p w14:paraId="01225E3C">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作物种植类（含菌类）。生产设施用地按照种植规模核定用地面积。作物种植的辅助设施用地，原则上不超过种植面积的5%，其中种植面积不超过3000 亩的，最多不超过20 亩；种植面积超过3000亩的，最多不超过30亩</w:t>
      </w:r>
      <w:r>
        <w:rPr>
          <w:color w:val="auto"/>
          <w:highlight w:val="none"/>
          <w:lang w:eastAsia="zh-CN"/>
        </w:rPr>
        <w:t>。</w:t>
      </w:r>
    </w:p>
    <w:p w14:paraId="1E85D8C6">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w:t>
      </w:r>
      <w:r>
        <w:rPr>
          <w:rFonts w:hint="eastAsia"/>
          <w:color w:val="auto"/>
          <w:highlight w:val="none"/>
          <w:lang w:eastAsia="zh-CN"/>
        </w:rPr>
        <w:t>畜禽（蚕）、水产养殖类。生产设施用地按照养殖规模核定用地面积。养殖的辅助设施用地规模原则上不超过设施农业项目用地规模的10%（其中规模化养牛、养羊可放宽至15%）。多高层养殖的生产设施用地按照养殖规模核定用地面积外，其生产设施用地和必须配建的辅助设施用地规模，应按照农业农村、生态环境和住房城乡建设主管部门要求执行，建设需符合建设安全和生物防疫等方面要求</w:t>
      </w:r>
      <w:r>
        <w:rPr>
          <w:color w:val="auto"/>
          <w:highlight w:val="none"/>
          <w:lang w:eastAsia="zh-CN"/>
        </w:rPr>
        <w:t>。</w:t>
      </w:r>
    </w:p>
    <w:p w14:paraId="0FD9E785">
      <w:pPr>
        <w:pStyle w:val="11"/>
        <w:spacing w:line="360" w:lineRule="auto"/>
        <w:ind w:left="110" w:leftChars="50" w:right="110" w:rightChars="50" w:firstLine="560" w:firstLineChars="200"/>
        <w:rPr>
          <w:color w:val="auto"/>
          <w:spacing w:val="-5"/>
          <w:highlight w:val="none"/>
          <w:lang w:eastAsia="zh-CN"/>
        </w:rPr>
      </w:pPr>
      <w:r>
        <w:rPr>
          <w:rFonts w:hint="eastAsia" w:ascii="微软雅黑" w:hAnsi="微软雅黑" w:eastAsia="微软雅黑"/>
          <w:b/>
          <w:color w:val="auto"/>
          <w:highlight w:val="none"/>
          <w:lang w:eastAsia="zh-CN"/>
        </w:rPr>
        <w:t>第四十</w:t>
      </w:r>
      <w:r>
        <w:rPr>
          <w:rFonts w:hint="eastAsia" w:ascii="微软雅黑" w:hAnsi="微软雅黑" w:eastAsia="微软雅黑"/>
          <w:b/>
          <w:color w:val="auto"/>
          <w:sz w:val="28"/>
          <w:szCs w:val="28"/>
          <w:highlight w:val="none"/>
          <w:lang w:val="en-US" w:eastAsia="zh-CN"/>
        </w:rPr>
        <w:t>五</w:t>
      </w:r>
      <w:r>
        <w:rPr>
          <w:rFonts w:hint="eastAsia" w:ascii="微软雅黑" w:hAnsi="微软雅黑" w:eastAsia="微软雅黑"/>
          <w:b/>
          <w:color w:val="auto"/>
          <w:highlight w:val="none"/>
          <w:lang w:eastAsia="zh-CN"/>
        </w:rPr>
        <w:t xml:space="preserve">条 </w:t>
      </w:r>
      <w:r>
        <w:rPr>
          <w:rFonts w:hint="eastAsia"/>
          <w:color w:val="auto"/>
          <w:spacing w:val="-7"/>
          <w:highlight w:val="none"/>
          <w:lang w:eastAsia="zh-CN"/>
        </w:rPr>
        <w:t>矿山开采规模必须与矿产资源储量规模、矿山服务年限相适应，坚持大矿大开，合理引导小矿山的开发利用。新设矿山必须达到柳州市最低开采规模准入条件</w:t>
      </w:r>
      <w:r>
        <w:rPr>
          <w:color w:val="auto"/>
          <w:spacing w:val="-5"/>
          <w:highlight w:val="none"/>
          <w:lang w:eastAsia="zh-CN"/>
        </w:rPr>
        <w:t>。</w:t>
      </w:r>
    </w:p>
    <w:p w14:paraId="35939227">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29" w:name="_bookmark18"/>
      <w:bookmarkEnd w:id="29"/>
      <w:r>
        <w:rPr>
          <w:rFonts w:ascii="微软雅黑" w:hAnsi="微软雅黑" w:eastAsia="微软雅黑" w:cs="微软雅黑"/>
          <w:b/>
          <w:bCs/>
          <w:color w:val="auto"/>
          <w:sz w:val="30"/>
          <w:szCs w:val="30"/>
          <w:highlight w:val="none"/>
          <w:lang w:eastAsia="zh-CN"/>
        </w:rPr>
        <w:t>第二节 建筑退距</w:t>
      </w:r>
    </w:p>
    <w:p w14:paraId="795AA02B">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第四十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条</w:t>
      </w:r>
      <w:r>
        <w:rPr>
          <w:rFonts w:hint="eastAsia"/>
          <w:b/>
          <w:color w:val="auto"/>
          <w:spacing w:val="12"/>
          <w:highlight w:val="none"/>
          <w:lang w:eastAsia="zh-CN"/>
        </w:rPr>
        <w:t xml:space="preserve"> </w:t>
      </w:r>
      <w:r>
        <w:rPr>
          <w:rFonts w:hint="eastAsia"/>
          <w:color w:val="auto"/>
          <w:highlight w:val="none"/>
          <w:lang w:eastAsia="zh-CN"/>
        </w:rPr>
        <w:t>沿铁路及公路两侧新建、扩建的乡村建筑，在满足《铁路安全管理条例》《公路安全保护条例》《城市对外交通规划规范》《柳州市农村农民建房“一件事”办事指南》等要求下，新建建筑退让距离还应满足下表要求</w:t>
      </w:r>
      <w:r>
        <w:rPr>
          <w:color w:val="auto"/>
          <w:highlight w:val="none"/>
          <w:lang w:eastAsia="zh-CN"/>
        </w:rPr>
        <w:t>。</w:t>
      </w:r>
    </w:p>
    <w:p w14:paraId="24BF8A68">
      <w:pPr>
        <w:spacing w:line="360" w:lineRule="auto"/>
        <w:ind w:left="110" w:leftChars="50" w:right="110" w:rightChars="50" w:firstLine="560" w:firstLineChars="200"/>
        <w:jc w:val="center"/>
        <w:rPr>
          <w:rFonts w:hint="eastAsia"/>
          <w:color w:val="auto"/>
          <w:sz w:val="28"/>
          <w:szCs w:val="28"/>
          <w:highlight w:val="none"/>
          <w:lang w:eastAsia="zh-CN"/>
        </w:rPr>
      </w:pPr>
      <w:r>
        <w:rPr>
          <w:rFonts w:hint="eastAsia"/>
          <w:color w:val="auto"/>
          <w:sz w:val="28"/>
          <w:szCs w:val="28"/>
          <w:highlight w:val="none"/>
          <w:lang w:eastAsia="zh-CN"/>
        </w:rPr>
        <w:t xml:space="preserve">表 </w:t>
      </w:r>
      <w:r>
        <w:rPr>
          <w:color w:val="auto"/>
          <w:sz w:val="28"/>
          <w:szCs w:val="28"/>
          <w:highlight w:val="none"/>
          <w:lang w:eastAsia="zh-CN"/>
        </w:rPr>
        <w:t xml:space="preserve">5.1 </w:t>
      </w:r>
      <w:r>
        <w:rPr>
          <w:rFonts w:hint="eastAsia"/>
          <w:color w:val="auto"/>
          <w:sz w:val="28"/>
          <w:szCs w:val="28"/>
          <w:highlight w:val="none"/>
          <w:lang w:eastAsia="zh-CN"/>
        </w:rPr>
        <w:t>建筑退让铁路及公路距离控制指标表</w:t>
      </w:r>
    </w:p>
    <w:tbl>
      <w:tblPr>
        <w:tblStyle w:val="4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1"/>
        <w:gridCol w:w="1673"/>
        <w:gridCol w:w="5144"/>
      </w:tblGrid>
      <w:tr w14:paraId="1012F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921" w:type="dxa"/>
            <w:vAlign w:val="center"/>
          </w:tcPr>
          <w:p w14:paraId="632D8A20">
            <w:pPr>
              <w:pStyle w:val="44"/>
              <w:spacing w:line="360" w:lineRule="auto"/>
              <w:ind w:left="110" w:leftChars="50" w:right="110" w:rightChars="50" w:firstLine="440" w:firstLineChars="200"/>
              <w:jc w:val="center"/>
              <w:rPr>
                <w:rFonts w:hint="eastAsia"/>
                <w:color w:val="auto"/>
                <w:highlight w:val="none"/>
              </w:rPr>
            </w:pPr>
            <w:r>
              <w:rPr>
                <w:color w:val="auto"/>
                <w:highlight w:val="none"/>
              </w:rPr>
              <w:t>铁路及公路等级</w:t>
            </w:r>
          </w:p>
        </w:tc>
        <w:tc>
          <w:tcPr>
            <w:tcW w:w="1673" w:type="dxa"/>
            <w:vAlign w:val="center"/>
          </w:tcPr>
          <w:p w14:paraId="6518DF5D">
            <w:pPr>
              <w:pStyle w:val="44"/>
              <w:spacing w:line="360" w:lineRule="auto"/>
              <w:ind w:left="110" w:leftChars="50" w:right="110" w:rightChars="50" w:firstLine="440" w:firstLineChars="200"/>
              <w:jc w:val="center"/>
              <w:rPr>
                <w:rFonts w:hint="eastAsia"/>
                <w:color w:val="auto"/>
                <w:highlight w:val="none"/>
              </w:rPr>
            </w:pPr>
            <w:r>
              <w:rPr>
                <w:color w:val="auto"/>
                <w:highlight w:val="none"/>
              </w:rPr>
              <w:t>退让距离</w:t>
            </w:r>
          </w:p>
        </w:tc>
        <w:tc>
          <w:tcPr>
            <w:tcW w:w="5144" w:type="dxa"/>
            <w:vAlign w:val="center"/>
          </w:tcPr>
          <w:p w14:paraId="063DE8A7">
            <w:pPr>
              <w:pStyle w:val="44"/>
              <w:spacing w:line="360" w:lineRule="auto"/>
              <w:ind w:left="110" w:leftChars="50" w:right="110" w:rightChars="50" w:firstLine="440" w:firstLineChars="200"/>
              <w:jc w:val="center"/>
              <w:rPr>
                <w:rFonts w:hint="eastAsia"/>
                <w:color w:val="auto"/>
                <w:highlight w:val="none"/>
              </w:rPr>
            </w:pPr>
            <w:r>
              <w:rPr>
                <w:color w:val="auto"/>
                <w:highlight w:val="none"/>
              </w:rPr>
              <w:t>备注</w:t>
            </w:r>
          </w:p>
        </w:tc>
      </w:tr>
      <w:tr w14:paraId="00FDA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921" w:type="dxa"/>
            <w:vAlign w:val="center"/>
          </w:tcPr>
          <w:p w14:paraId="42AB099B">
            <w:pPr>
              <w:pStyle w:val="44"/>
              <w:spacing w:line="360" w:lineRule="auto"/>
              <w:ind w:left="110" w:leftChars="50" w:right="110" w:rightChars="50" w:firstLine="440" w:firstLineChars="200"/>
              <w:jc w:val="center"/>
              <w:rPr>
                <w:rFonts w:hint="eastAsia"/>
                <w:color w:val="auto"/>
                <w:highlight w:val="none"/>
              </w:rPr>
            </w:pPr>
            <w:r>
              <w:rPr>
                <w:color w:val="auto"/>
                <w:highlight w:val="none"/>
              </w:rPr>
              <w:t>高速铁路</w:t>
            </w:r>
          </w:p>
        </w:tc>
        <w:tc>
          <w:tcPr>
            <w:tcW w:w="1673" w:type="dxa"/>
            <w:vAlign w:val="center"/>
          </w:tcPr>
          <w:p w14:paraId="369C6690">
            <w:pPr>
              <w:pStyle w:val="44"/>
              <w:spacing w:line="360" w:lineRule="auto"/>
              <w:ind w:left="110" w:leftChars="50" w:right="110" w:rightChars="50" w:firstLine="440" w:firstLineChars="200"/>
              <w:jc w:val="center"/>
              <w:rPr>
                <w:rFonts w:hint="eastAsia"/>
                <w:color w:val="auto"/>
                <w:highlight w:val="none"/>
              </w:rPr>
            </w:pPr>
            <w:r>
              <w:rPr>
                <w:color w:val="auto"/>
                <w:highlight w:val="none"/>
              </w:rPr>
              <w:t>≥</w:t>
            </w:r>
            <w:r>
              <w:rPr>
                <w:rFonts w:hint="eastAsia"/>
                <w:color w:val="auto"/>
                <w:highlight w:val="none"/>
                <w:lang w:val="en-US" w:eastAsia="zh-CN"/>
              </w:rPr>
              <w:t>15</w:t>
            </w:r>
            <w:r>
              <w:rPr>
                <w:color w:val="auto"/>
                <w:highlight w:val="none"/>
              </w:rPr>
              <w:t xml:space="preserve"> 米</w:t>
            </w:r>
          </w:p>
        </w:tc>
        <w:tc>
          <w:tcPr>
            <w:tcW w:w="5144" w:type="dxa"/>
            <w:vAlign w:val="center"/>
          </w:tcPr>
          <w:p w14:paraId="29176154">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建筑边缘与铁路路基外侧的距离</w:t>
            </w:r>
          </w:p>
        </w:tc>
      </w:tr>
      <w:tr w14:paraId="3380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2921" w:type="dxa"/>
            <w:vAlign w:val="center"/>
          </w:tcPr>
          <w:p w14:paraId="1D8EBDA4">
            <w:pPr>
              <w:pStyle w:val="44"/>
              <w:spacing w:line="360" w:lineRule="auto"/>
              <w:ind w:left="110" w:leftChars="50" w:right="110" w:rightChars="50" w:firstLine="440" w:firstLineChars="200"/>
              <w:jc w:val="center"/>
              <w:rPr>
                <w:rFonts w:hint="eastAsia"/>
                <w:color w:val="auto"/>
                <w:highlight w:val="none"/>
              </w:rPr>
            </w:pPr>
            <w:r>
              <w:rPr>
                <w:color w:val="auto"/>
                <w:highlight w:val="none"/>
              </w:rPr>
              <w:t>铁路及公路等级</w:t>
            </w:r>
          </w:p>
        </w:tc>
        <w:tc>
          <w:tcPr>
            <w:tcW w:w="1673" w:type="dxa"/>
            <w:vAlign w:val="center"/>
          </w:tcPr>
          <w:p w14:paraId="080DF7C7">
            <w:pPr>
              <w:pStyle w:val="44"/>
              <w:spacing w:line="360" w:lineRule="auto"/>
              <w:ind w:left="110" w:leftChars="50" w:right="110" w:rightChars="50" w:firstLine="440" w:firstLineChars="200"/>
              <w:jc w:val="center"/>
              <w:rPr>
                <w:rFonts w:hint="eastAsia"/>
                <w:color w:val="auto"/>
                <w:highlight w:val="none"/>
              </w:rPr>
            </w:pPr>
            <w:r>
              <w:rPr>
                <w:color w:val="auto"/>
                <w:highlight w:val="none"/>
              </w:rPr>
              <w:t>退让距离</w:t>
            </w:r>
          </w:p>
        </w:tc>
        <w:tc>
          <w:tcPr>
            <w:tcW w:w="5144" w:type="dxa"/>
            <w:vAlign w:val="center"/>
          </w:tcPr>
          <w:p w14:paraId="1AE738F1">
            <w:pPr>
              <w:pStyle w:val="44"/>
              <w:spacing w:line="360" w:lineRule="auto"/>
              <w:ind w:left="110" w:leftChars="50" w:right="110" w:rightChars="50" w:firstLine="440" w:firstLineChars="200"/>
              <w:jc w:val="center"/>
              <w:rPr>
                <w:rFonts w:hint="eastAsia"/>
                <w:color w:val="auto"/>
                <w:highlight w:val="none"/>
              </w:rPr>
            </w:pPr>
            <w:r>
              <w:rPr>
                <w:color w:val="auto"/>
                <w:highlight w:val="none"/>
              </w:rPr>
              <w:t>备注</w:t>
            </w:r>
          </w:p>
        </w:tc>
      </w:tr>
      <w:tr w14:paraId="1629D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921" w:type="dxa"/>
            <w:vAlign w:val="center"/>
          </w:tcPr>
          <w:p w14:paraId="58749EF9">
            <w:pPr>
              <w:pStyle w:val="44"/>
              <w:spacing w:line="360" w:lineRule="auto"/>
              <w:ind w:left="110" w:leftChars="50" w:right="110" w:rightChars="50" w:firstLine="440" w:firstLineChars="200"/>
              <w:jc w:val="center"/>
              <w:rPr>
                <w:rFonts w:hint="eastAsia"/>
                <w:color w:val="auto"/>
                <w:highlight w:val="none"/>
              </w:rPr>
            </w:pPr>
            <w:r>
              <w:rPr>
                <w:color w:val="auto"/>
                <w:highlight w:val="none"/>
              </w:rPr>
              <w:t>铁路干线</w:t>
            </w:r>
          </w:p>
        </w:tc>
        <w:tc>
          <w:tcPr>
            <w:tcW w:w="1673" w:type="dxa"/>
            <w:vAlign w:val="center"/>
          </w:tcPr>
          <w:p w14:paraId="0D03AA43">
            <w:pPr>
              <w:pStyle w:val="44"/>
              <w:spacing w:line="360" w:lineRule="auto"/>
              <w:ind w:left="110" w:leftChars="50" w:right="110" w:rightChars="50" w:firstLine="440" w:firstLineChars="200"/>
              <w:jc w:val="center"/>
              <w:rPr>
                <w:rFonts w:hint="eastAsia"/>
                <w:color w:val="auto"/>
                <w:highlight w:val="none"/>
              </w:rPr>
            </w:pPr>
            <w:r>
              <w:rPr>
                <w:color w:val="auto"/>
                <w:highlight w:val="none"/>
              </w:rPr>
              <w:t>≥</w:t>
            </w:r>
            <w:r>
              <w:rPr>
                <w:rFonts w:hint="eastAsia"/>
                <w:color w:val="auto"/>
                <w:highlight w:val="none"/>
                <w:lang w:val="en-US" w:eastAsia="zh-CN"/>
              </w:rPr>
              <w:t>12</w:t>
            </w:r>
            <w:r>
              <w:rPr>
                <w:color w:val="auto"/>
                <w:highlight w:val="none"/>
              </w:rPr>
              <w:t xml:space="preserve"> 米</w:t>
            </w:r>
          </w:p>
        </w:tc>
        <w:tc>
          <w:tcPr>
            <w:tcW w:w="5144" w:type="dxa"/>
            <w:vAlign w:val="center"/>
          </w:tcPr>
          <w:p w14:paraId="60A7886E">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建筑边缘与铁路路基外侧的距离</w:t>
            </w:r>
          </w:p>
        </w:tc>
      </w:tr>
      <w:tr w14:paraId="5148D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921" w:type="dxa"/>
            <w:vAlign w:val="center"/>
          </w:tcPr>
          <w:p w14:paraId="5E45C665">
            <w:pPr>
              <w:pStyle w:val="44"/>
              <w:spacing w:line="360" w:lineRule="auto"/>
              <w:ind w:left="110" w:leftChars="50" w:right="110" w:rightChars="50" w:firstLine="440" w:firstLineChars="200"/>
              <w:jc w:val="center"/>
              <w:rPr>
                <w:rFonts w:hint="eastAsia"/>
                <w:color w:val="auto"/>
                <w:highlight w:val="none"/>
              </w:rPr>
            </w:pPr>
            <w:r>
              <w:rPr>
                <w:color w:val="auto"/>
                <w:highlight w:val="none"/>
              </w:rPr>
              <w:t>铁路支路、专用线</w:t>
            </w:r>
          </w:p>
        </w:tc>
        <w:tc>
          <w:tcPr>
            <w:tcW w:w="1673" w:type="dxa"/>
            <w:vAlign w:val="center"/>
          </w:tcPr>
          <w:p w14:paraId="35D90A00">
            <w:pPr>
              <w:pStyle w:val="44"/>
              <w:spacing w:line="360" w:lineRule="auto"/>
              <w:ind w:left="110" w:leftChars="50" w:right="110" w:rightChars="50" w:firstLine="440" w:firstLineChars="200"/>
              <w:jc w:val="center"/>
              <w:rPr>
                <w:rFonts w:hint="eastAsia"/>
                <w:color w:val="auto"/>
                <w:highlight w:val="none"/>
              </w:rPr>
            </w:pPr>
            <w:r>
              <w:rPr>
                <w:color w:val="auto"/>
                <w:highlight w:val="none"/>
              </w:rPr>
              <w:t>≥</w:t>
            </w:r>
            <w:r>
              <w:rPr>
                <w:rFonts w:hint="eastAsia"/>
                <w:color w:val="auto"/>
                <w:highlight w:val="none"/>
                <w:lang w:val="en-US" w:eastAsia="zh-CN"/>
              </w:rPr>
              <w:t>12</w:t>
            </w:r>
            <w:r>
              <w:rPr>
                <w:color w:val="auto"/>
                <w:highlight w:val="none"/>
              </w:rPr>
              <w:t xml:space="preserve"> 米</w:t>
            </w:r>
          </w:p>
        </w:tc>
        <w:tc>
          <w:tcPr>
            <w:tcW w:w="5144" w:type="dxa"/>
            <w:vAlign w:val="center"/>
          </w:tcPr>
          <w:p w14:paraId="62617EC2">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建筑边缘与铁路路基外侧的距离</w:t>
            </w:r>
          </w:p>
        </w:tc>
      </w:tr>
      <w:tr w14:paraId="53469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921" w:type="dxa"/>
            <w:vAlign w:val="center"/>
          </w:tcPr>
          <w:p w14:paraId="71EFA56A">
            <w:pPr>
              <w:pStyle w:val="44"/>
              <w:spacing w:line="360" w:lineRule="auto"/>
              <w:ind w:left="110" w:leftChars="50" w:right="110" w:rightChars="50" w:firstLine="440" w:firstLineChars="200"/>
              <w:jc w:val="center"/>
              <w:rPr>
                <w:rFonts w:hint="eastAsia"/>
                <w:color w:val="auto"/>
                <w:highlight w:val="none"/>
              </w:rPr>
            </w:pPr>
            <w:r>
              <w:rPr>
                <w:color w:val="auto"/>
                <w:highlight w:val="none"/>
              </w:rPr>
              <w:t>高速公路</w:t>
            </w:r>
          </w:p>
        </w:tc>
        <w:tc>
          <w:tcPr>
            <w:tcW w:w="1673" w:type="dxa"/>
            <w:vAlign w:val="center"/>
          </w:tcPr>
          <w:p w14:paraId="11A9D6B6">
            <w:pPr>
              <w:pStyle w:val="44"/>
              <w:spacing w:line="360" w:lineRule="auto"/>
              <w:ind w:left="110" w:leftChars="50" w:right="110" w:rightChars="50" w:firstLine="440" w:firstLineChars="200"/>
              <w:jc w:val="center"/>
              <w:rPr>
                <w:rFonts w:hint="eastAsia"/>
                <w:color w:val="auto"/>
                <w:highlight w:val="none"/>
              </w:rPr>
            </w:pPr>
            <w:r>
              <w:rPr>
                <w:color w:val="auto"/>
                <w:highlight w:val="none"/>
              </w:rPr>
              <w:t>≥30 米</w:t>
            </w:r>
          </w:p>
        </w:tc>
        <w:tc>
          <w:tcPr>
            <w:tcW w:w="5144" w:type="dxa"/>
            <w:vAlign w:val="center"/>
          </w:tcPr>
          <w:p w14:paraId="3B9EB9B1">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从公路用地外缘起向外的距离</w:t>
            </w:r>
          </w:p>
        </w:tc>
      </w:tr>
      <w:tr w14:paraId="6A9ED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921" w:type="dxa"/>
            <w:vAlign w:val="center"/>
          </w:tcPr>
          <w:p w14:paraId="55198028">
            <w:pPr>
              <w:pStyle w:val="44"/>
              <w:spacing w:line="360" w:lineRule="auto"/>
              <w:ind w:left="110" w:leftChars="50" w:right="110" w:rightChars="50" w:firstLine="440" w:firstLineChars="200"/>
              <w:jc w:val="center"/>
              <w:rPr>
                <w:rFonts w:hint="eastAsia"/>
                <w:color w:val="auto"/>
                <w:highlight w:val="none"/>
              </w:rPr>
            </w:pPr>
            <w:r>
              <w:rPr>
                <w:color w:val="auto"/>
                <w:highlight w:val="none"/>
              </w:rPr>
              <w:t>国道</w:t>
            </w:r>
          </w:p>
        </w:tc>
        <w:tc>
          <w:tcPr>
            <w:tcW w:w="1673" w:type="dxa"/>
            <w:vAlign w:val="center"/>
          </w:tcPr>
          <w:p w14:paraId="4E56573F">
            <w:pPr>
              <w:pStyle w:val="44"/>
              <w:spacing w:line="360" w:lineRule="auto"/>
              <w:ind w:left="110" w:leftChars="50" w:right="110" w:rightChars="50" w:firstLine="440" w:firstLineChars="200"/>
              <w:jc w:val="center"/>
              <w:rPr>
                <w:rFonts w:hint="eastAsia"/>
                <w:color w:val="auto"/>
                <w:highlight w:val="none"/>
              </w:rPr>
            </w:pPr>
            <w:r>
              <w:rPr>
                <w:color w:val="auto"/>
                <w:highlight w:val="none"/>
              </w:rPr>
              <w:t>≥20 米</w:t>
            </w:r>
          </w:p>
        </w:tc>
        <w:tc>
          <w:tcPr>
            <w:tcW w:w="5144" w:type="dxa"/>
            <w:vAlign w:val="center"/>
          </w:tcPr>
          <w:p w14:paraId="615DE81F">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从公路用地外缘起向外的距离</w:t>
            </w:r>
          </w:p>
        </w:tc>
      </w:tr>
      <w:tr w14:paraId="61329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21" w:type="dxa"/>
            <w:vAlign w:val="center"/>
          </w:tcPr>
          <w:p w14:paraId="6BBB7A69">
            <w:pPr>
              <w:pStyle w:val="44"/>
              <w:spacing w:line="360" w:lineRule="auto"/>
              <w:ind w:left="110" w:leftChars="50" w:right="110" w:rightChars="50" w:firstLine="440" w:firstLineChars="200"/>
              <w:jc w:val="center"/>
              <w:rPr>
                <w:rFonts w:hint="eastAsia"/>
                <w:color w:val="auto"/>
                <w:highlight w:val="none"/>
              </w:rPr>
            </w:pPr>
            <w:r>
              <w:rPr>
                <w:color w:val="auto"/>
                <w:highlight w:val="none"/>
              </w:rPr>
              <w:t>省道</w:t>
            </w:r>
          </w:p>
        </w:tc>
        <w:tc>
          <w:tcPr>
            <w:tcW w:w="1673" w:type="dxa"/>
            <w:vAlign w:val="center"/>
          </w:tcPr>
          <w:p w14:paraId="12540EB9">
            <w:pPr>
              <w:pStyle w:val="44"/>
              <w:spacing w:line="360" w:lineRule="auto"/>
              <w:ind w:left="110" w:leftChars="50" w:right="110" w:rightChars="50" w:firstLine="440" w:firstLineChars="200"/>
              <w:jc w:val="center"/>
              <w:rPr>
                <w:rFonts w:hint="eastAsia"/>
                <w:color w:val="auto"/>
                <w:highlight w:val="none"/>
              </w:rPr>
            </w:pPr>
            <w:r>
              <w:rPr>
                <w:color w:val="auto"/>
                <w:highlight w:val="none"/>
              </w:rPr>
              <w:t>≥15 米</w:t>
            </w:r>
          </w:p>
        </w:tc>
        <w:tc>
          <w:tcPr>
            <w:tcW w:w="5144" w:type="dxa"/>
            <w:vAlign w:val="center"/>
          </w:tcPr>
          <w:p w14:paraId="3DC59D5C">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从公路用地外缘起向外的距离</w:t>
            </w:r>
          </w:p>
        </w:tc>
      </w:tr>
      <w:tr w14:paraId="09557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921" w:type="dxa"/>
            <w:vAlign w:val="center"/>
          </w:tcPr>
          <w:p w14:paraId="6CDF9C5A">
            <w:pPr>
              <w:pStyle w:val="44"/>
              <w:spacing w:line="360" w:lineRule="auto"/>
              <w:ind w:left="110" w:leftChars="50" w:right="110" w:rightChars="50" w:firstLine="440" w:firstLineChars="200"/>
              <w:jc w:val="center"/>
              <w:rPr>
                <w:rFonts w:hint="eastAsia"/>
                <w:color w:val="auto"/>
                <w:highlight w:val="none"/>
              </w:rPr>
            </w:pPr>
            <w:r>
              <w:rPr>
                <w:color w:val="auto"/>
                <w:highlight w:val="none"/>
              </w:rPr>
              <w:t>县道</w:t>
            </w:r>
          </w:p>
        </w:tc>
        <w:tc>
          <w:tcPr>
            <w:tcW w:w="1673" w:type="dxa"/>
            <w:vAlign w:val="center"/>
          </w:tcPr>
          <w:p w14:paraId="597E0934">
            <w:pPr>
              <w:pStyle w:val="44"/>
              <w:spacing w:line="360" w:lineRule="auto"/>
              <w:ind w:left="110" w:leftChars="50" w:right="110" w:rightChars="50" w:firstLine="440" w:firstLineChars="200"/>
              <w:jc w:val="center"/>
              <w:rPr>
                <w:rFonts w:hint="eastAsia"/>
                <w:color w:val="auto"/>
                <w:highlight w:val="none"/>
              </w:rPr>
            </w:pPr>
            <w:r>
              <w:rPr>
                <w:color w:val="auto"/>
                <w:highlight w:val="none"/>
              </w:rPr>
              <w:t>≥10 米</w:t>
            </w:r>
          </w:p>
        </w:tc>
        <w:tc>
          <w:tcPr>
            <w:tcW w:w="5144" w:type="dxa"/>
            <w:vAlign w:val="center"/>
          </w:tcPr>
          <w:p w14:paraId="5333E7EE">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从公路用地外缘起向外的距离</w:t>
            </w:r>
          </w:p>
        </w:tc>
      </w:tr>
      <w:tr w14:paraId="12946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921" w:type="dxa"/>
            <w:vAlign w:val="center"/>
          </w:tcPr>
          <w:p w14:paraId="30113253">
            <w:pPr>
              <w:pStyle w:val="44"/>
              <w:spacing w:line="360" w:lineRule="auto"/>
              <w:ind w:left="110" w:leftChars="50" w:right="110" w:rightChars="50" w:firstLine="440" w:firstLineChars="200"/>
              <w:jc w:val="center"/>
              <w:rPr>
                <w:rFonts w:hint="eastAsia"/>
                <w:color w:val="auto"/>
                <w:highlight w:val="none"/>
              </w:rPr>
            </w:pPr>
            <w:r>
              <w:rPr>
                <w:color w:val="auto"/>
                <w:highlight w:val="none"/>
              </w:rPr>
              <w:t>乡道</w:t>
            </w:r>
          </w:p>
        </w:tc>
        <w:tc>
          <w:tcPr>
            <w:tcW w:w="1673" w:type="dxa"/>
            <w:vAlign w:val="center"/>
          </w:tcPr>
          <w:p w14:paraId="1EC45F63">
            <w:pPr>
              <w:pStyle w:val="44"/>
              <w:spacing w:line="360" w:lineRule="auto"/>
              <w:ind w:left="110" w:leftChars="50" w:right="110" w:rightChars="50" w:firstLine="440" w:firstLineChars="200"/>
              <w:jc w:val="center"/>
              <w:rPr>
                <w:rFonts w:hint="eastAsia"/>
                <w:color w:val="auto"/>
                <w:highlight w:val="none"/>
              </w:rPr>
            </w:pPr>
            <w:r>
              <w:rPr>
                <w:color w:val="auto"/>
                <w:highlight w:val="none"/>
              </w:rPr>
              <w:t>≥5 米</w:t>
            </w:r>
          </w:p>
        </w:tc>
        <w:tc>
          <w:tcPr>
            <w:tcW w:w="5144" w:type="dxa"/>
            <w:vAlign w:val="center"/>
          </w:tcPr>
          <w:p w14:paraId="6E8C2C82">
            <w:pPr>
              <w:pStyle w:val="44"/>
              <w:spacing w:line="360" w:lineRule="auto"/>
              <w:ind w:left="110" w:leftChars="50" w:right="110" w:rightChars="50" w:firstLine="440" w:firstLineChars="200"/>
              <w:jc w:val="center"/>
              <w:rPr>
                <w:rFonts w:hint="eastAsia"/>
                <w:color w:val="auto"/>
                <w:highlight w:val="none"/>
                <w:lang w:eastAsia="zh-CN"/>
              </w:rPr>
            </w:pPr>
            <w:r>
              <w:rPr>
                <w:color w:val="auto"/>
                <w:highlight w:val="none"/>
                <w:lang w:eastAsia="zh-CN"/>
              </w:rPr>
              <w:t>从公路用地外缘起向外的距离</w:t>
            </w:r>
          </w:p>
        </w:tc>
      </w:tr>
    </w:tbl>
    <w:p w14:paraId="1846E000">
      <w:pPr>
        <w:spacing w:line="360" w:lineRule="auto"/>
        <w:ind w:left="110" w:leftChars="50" w:right="110" w:rightChars="50" w:firstLine="440" w:firstLineChars="200"/>
        <w:rPr>
          <w:rFonts w:hint="eastAsia"/>
          <w:color w:val="auto"/>
          <w:highlight w:val="none"/>
          <w:lang w:eastAsia="zh-CN"/>
        </w:rPr>
      </w:pPr>
      <w:r>
        <w:rPr>
          <w:color w:val="auto"/>
          <w:highlight w:val="none"/>
          <w:lang w:eastAsia="zh-CN"/>
        </w:rPr>
        <w:t>注：除满足以上要求外，乡村建筑、围墙等建（构）筑物宜退让村庄内部道路在 1 米以上且不得侵占村庄消防通道空间，临路方向后退距离如村内有约定的，按照约定退让距离执行。</w:t>
      </w:r>
    </w:p>
    <w:p w14:paraId="720C1C77">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第四十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条</w:t>
      </w:r>
      <w:r>
        <w:rPr>
          <w:rFonts w:hint="eastAsia"/>
          <w:b/>
          <w:color w:val="auto"/>
          <w:spacing w:val="12"/>
          <w:highlight w:val="none"/>
          <w:lang w:eastAsia="zh-CN"/>
        </w:rPr>
        <w:t xml:space="preserve"> </w:t>
      </w:r>
      <w:r>
        <w:rPr>
          <w:rFonts w:hint="eastAsia"/>
          <w:color w:val="auto"/>
          <w:spacing w:val="-16"/>
          <w:highlight w:val="none"/>
          <w:lang w:eastAsia="zh-CN"/>
        </w:rPr>
        <w:t>沿架空电力线路两侧新建、改建、扩建乡村建筑，其后退线路边导线距离除有关规划和电力主管部门另有规定外，还应满足下表要求</w:t>
      </w:r>
      <w:r>
        <w:rPr>
          <w:color w:val="auto"/>
          <w:spacing w:val="-3"/>
          <w:highlight w:val="none"/>
          <w:lang w:eastAsia="zh-CN"/>
        </w:rPr>
        <w:t>。</w:t>
      </w:r>
    </w:p>
    <w:p w14:paraId="55ACF179">
      <w:pPr>
        <w:spacing w:line="360" w:lineRule="auto"/>
        <w:ind w:left="110" w:leftChars="50" w:right="110" w:rightChars="50" w:firstLine="560" w:firstLineChars="200"/>
        <w:jc w:val="center"/>
        <w:rPr>
          <w:rFonts w:hint="eastAsia"/>
          <w:color w:val="auto"/>
          <w:sz w:val="28"/>
          <w:szCs w:val="28"/>
          <w:highlight w:val="none"/>
          <w:lang w:eastAsia="zh-CN"/>
        </w:rPr>
      </w:pPr>
      <w:r>
        <w:rPr>
          <w:rFonts w:hint="eastAsia"/>
          <w:color w:val="auto"/>
          <w:sz w:val="28"/>
          <w:szCs w:val="28"/>
          <w:highlight w:val="none"/>
          <w:lang w:eastAsia="zh-CN"/>
        </w:rPr>
        <w:t xml:space="preserve">表 </w:t>
      </w:r>
      <w:r>
        <w:rPr>
          <w:color w:val="auto"/>
          <w:sz w:val="28"/>
          <w:szCs w:val="28"/>
          <w:highlight w:val="none"/>
          <w:lang w:eastAsia="zh-CN"/>
        </w:rPr>
        <w:t xml:space="preserve">5.2 </w:t>
      </w:r>
      <w:r>
        <w:rPr>
          <w:rFonts w:hint="eastAsia"/>
          <w:color w:val="auto"/>
          <w:sz w:val="28"/>
          <w:szCs w:val="28"/>
          <w:highlight w:val="none"/>
          <w:lang w:eastAsia="zh-CN"/>
        </w:rPr>
        <w:t>建筑退让电力线路距离控制指标表</w:t>
      </w: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5"/>
        <w:gridCol w:w="5865"/>
      </w:tblGrid>
      <w:tr w14:paraId="2C381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875" w:type="dxa"/>
          </w:tcPr>
          <w:p w14:paraId="66B88CB1">
            <w:pPr>
              <w:pStyle w:val="44"/>
              <w:spacing w:line="360" w:lineRule="auto"/>
              <w:ind w:left="110" w:leftChars="50" w:right="110" w:rightChars="50" w:firstLine="440" w:firstLineChars="200"/>
              <w:rPr>
                <w:rFonts w:hint="eastAsia"/>
                <w:color w:val="auto"/>
                <w:highlight w:val="none"/>
                <w:lang w:eastAsia="zh-CN"/>
              </w:rPr>
            </w:pPr>
            <w:r>
              <w:rPr>
                <w:color w:val="auto"/>
                <w:highlight w:val="none"/>
                <w:lang w:eastAsia="zh-CN"/>
              </w:rPr>
              <w:t>线路电压等级（千伏）</w:t>
            </w:r>
          </w:p>
        </w:tc>
        <w:tc>
          <w:tcPr>
            <w:tcW w:w="5865" w:type="dxa"/>
          </w:tcPr>
          <w:p w14:paraId="50FA450E">
            <w:pPr>
              <w:pStyle w:val="44"/>
              <w:spacing w:line="360" w:lineRule="auto"/>
              <w:ind w:left="110" w:leftChars="50" w:right="110" w:rightChars="50" w:firstLine="440" w:firstLineChars="200"/>
              <w:rPr>
                <w:rFonts w:hint="eastAsia"/>
                <w:color w:val="auto"/>
                <w:highlight w:val="none"/>
                <w:lang w:eastAsia="zh-CN"/>
              </w:rPr>
            </w:pPr>
            <w:r>
              <w:rPr>
                <w:color w:val="auto"/>
                <w:highlight w:val="none"/>
                <w:lang w:eastAsia="zh-CN"/>
              </w:rPr>
              <w:t>距架空电力线边导线向外侧水平距离</w:t>
            </w:r>
          </w:p>
        </w:tc>
      </w:tr>
      <w:tr w14:paraId="76160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875" w:type="dxa"/>
          </w:tcPr>
          <w:p w14:paraId="7E4B9220">
            <w:pPr>
              <w:pStyle w:val="44"/>
              <w:spacing w:line="360" w:lineRule="auto"/>
              <w:ind w:left="110" w:leftChars="50" w:right="110" w:rightChars="50" w:firstLine="440" w:firstLineChars="200"/>
              <w:rPr>
                <w:rFonts w:hint="eastAsia"/>
                <w:color w:val="auto"/>
                <w:highlight w:val="none"/>
              </w:rPr>
            </w:pPr>
            <w:r>
              <w:rPr>
                <w:color w:val="auto"/>
                <w:highlight w:val="none"/>
              </w:rPr>
              <w:t>1-10</w:t>
            </w:r>
          </w:p>
        </w:tc>
        <w:tc>
          <w:tcPr>
            <w:tcW w:w="5865" w:type="dxa"/>
          </w:tcPr>
          <w:p w14:paraId="3431D06F">
            <w:pPr>
              <w:pStyle w:val="44"/>
              <w:spacing w:line="360" w:lineRule="auto"/>
              <w:ind w:left="110" w:leftChars="50" w:right="110" w:rightChars="50" w:firstLine="440" w:firstLineChars="200"/>
              <w:rPr>
                <w:rFonts w:hint="eastAsia"/>
                <w:color w:val="auto"/>
                <w:highlight w:val="none"/>
              </w:rPr>
            </w:pPr>
            <w:r>
              <w:rPr>
                <w:color w:val="auto"/>
                <w:highlight w:val="none"/>
              </w:rPr>
              <w:t>≥5 米</w:t>
            </w:r>
          </w:p>
        </w:tc>
      </w:tr>
      <w:tr w14:paraId="74A1A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875" w:type="dxa"/>
          </w:tcPr>
          <w:p w14:paraId="45340C12">
            <w:pPr>
              <w:pStyle w:val="44"/>
              <w:spacing w:line="360" w:lineRule="auto"/>
              <w:ind w:left="110" w:leftChars="50" w:right="110" w:rightChars="50" w:firstLine="440" w:firstLineChars="200"/>
              <w:rPr>
                <w:rFonts w:hint="eastAsia"/>
                <w:color w:val="auto"/>
                <w:highlight w:val="none"/>
              </w:rPr>
            </w:pPr>
            <w:r>
              <w:rPr>
                <w:color w:val="auto"/>
                <w:highlight w:val="none"/>
              </w:rPr>
              <w:t>35-110</w:t>
            </w:r>
          </w:p>
        </w:tc>
        <w:tc>
          <w:tcPr>
            <w:tcW w:w="5865" w:type="dxa"/>
          </w:tcPr>
          <w:p w14:paraId="78BFE42E">
            <w:pPr>
              <w:pStyle w:val="44"/>
              <w:spacing w:line="360" w:lineRule="auto"/>
              <w:ind w:left="110" w:leftChars="50" w:right="110" w:rightChars="50" w:firstLine="440" w:firstLineChars="200"/>
              <w:rPr>
                <w:rFonts w:hint="eastAsia"/>
                <w:color w:val="auto"/>
                <w:highlight w:val="none"/>
              </w:rPr>
            </w:pPr>
            <w:r>
              <w:rPr>
                <w:color w:val="auto"/>
                <w:highlight w:val="none"/>
              </w:rPr>
              <w:t>≥10 米</w:t>
            </w:r>
          </w:p>
        </w:tc>
      </w:tr>
      <w:tr w14:paraId="2980A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875" w:type="dxa"/>
          </w:tcPr>
          <w:p w14:paraId="7909744E">
            <w:pPr>
              <w:pStyle w:val="44"/>
              <w:spacing w:line="360" w:lineRule="auto"/>
              <w:ind w:left="110" w:leftChars="50" w:right="110" w:rightChars="50" w:firstLine="440" w:firstLineChars="200"/>
              <w:rPr>
                <w:rFonts w:hint="eastAsia"/>
                <w:color w:val="auto"/>
                <w:highlight w:val="none"/>
              </w:rPr>
            </w:pPr>
            <w:r>
              <w:rPr>
                <w:color w:val="auto"/>
                <w:highlight w:val="none"/>
              </w:rPr>
              <w:t>150-330</w:t>
            </w:r>
          </w:p>
        </w:tc>
        <w:tc>
          <w:tcPr>
            <w:tcW w:w="5865" w:type="dxa"/>
          </w:tcPr>
          <w:p w14:paraId="7ABFC1F4">
            <w:pPr>
              <w:pStyle w:val="44"/>
              <w:spacing w:line="360" w:lineRule="auto"/>
              <w:ind w:left="110" w:leftChars="50" w:right="110" w:rightChars="50" w:firstLine="440" w:firstLineChars="200"/>
              <w:rPr>
                <w:rFonts w:hint="eastAsia"/>
                <w:color w:val="auto"/>
                <w:highlight w:val="none"/>
              </w:rPr>
            </w:pPr>
            <w:r>
              <w:rPr>
                <w:color w:val="auto"/>
                <w:highlight w:val="none"/>
              </w:rPr>
              <w:t>≥15 米</w:t>
            </w:r>
          </w:p>
        </w:tc>
      </w:tr>
      <w:tr w14:paraId="51766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875" w:type="dxa"/>
          </w:tcPr>
          <w:p w14:paraId="471E9A49">
            <w:pPr>
              <w:pStyle w:val="44"/>
              <w:spacing w:line="360" w:lineRule="auto"/>
              <w:ind w:left="110" w:leftChars="50" w:right="110" w:rightChars="50" w:firstLine="440" w:firstLineChars="200"/>
              <w:rPr>
                <w:rFonts w:hint="eastAsia"/>
                <w:color w:val="auto"/>
                <w:highlight w:val="none"/>
              </w:rPr>
            </w:pPr>
            <w:r>
              <w:rPr>
                <w:color w:val="auto"/>
                <w:highlight w:val="none"/>
              </w:rPr>
              <w:t>500</w:t>
            </w:r>
          </w:p>
        </w:tc>
        <w:tc>
          <w:tcPr>
            <w:tcW w:w="5865" w:type="dxa"/>
          </w:tcPr>
          <w:p w14:paraId="7C11C9C4">
            <w:pPr>
              <w:pStyle w:val="44"/>
              <w:spacing w:line="360" w:lineRule="auto"/>
              <w:ind w:left="110" w:leftChars="50" w:right="110" w:rightChars="50" w:firstLine="440" w:firstLineChars="200"/>
              <w:rPr>
                <w:rFonts w:hint="eastAsia"/>
                <w:color w:val="auto"/>
                <w:highlight w:val="none"/>
              </w:rPr>
            </w:pPr>
            <w:r>
              <w:rPr>
                <w:color w:val="auto"/>
                <w:highlight w:val="none"/>
              </w:rPr>
              <w:t>≥20 米</w:t>
            </w:r>
          </w:p>
        </w:tc>
      </w:tr>
    </w:tbl>
    <w:p w14:paraId="47B1679D">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第四十</w:t>
      </w:r>
      <w:r>
        <w:rPr>
          <w:rFonts w:hint="eastAsia" w:ascii="微软雅黑" w:hAnsi="微软雅黑" w:eastAsia="微软雅黑"/>
          <w:b/>
          <w:color w:val="auto"/>
          <w:highlight w:val="none"/>
          <w:lang w:val="en-US" w:eastAsia="zh-CN"/>
        </w:rPr>
        <w:t>八</w:t>
      </w:r>
      <w:r>
        <w:rPr>
          <w:rFonts w:hint="eastAsia" w:ascii="微软雅黑" w:hAnsi="微软雅黑" w:eastAsia="微软雅黑"/>
          <w:b/>
          <w:color w:val="auto"/>
          <w:highlight w:val="none"/>
          <w:lang w:eastAsia="zh-CN"/>
        </w:rPr>
        <w:t xml:space="preserve">条 </w:t>
      </w:r>
      <w:r>
        <w:rPr>
          <w:rFonts w:hint="eastAsia"/>
          <w:color w:val="auto"/>
          <w:spacing w:val="-16"/>
          <w:highlight w:val="none"/>
          <w:lang w:eastAsia="zh-CN"/>
        </w:rPr>
        <w:t>在符合消防、施工、安全等要求的前提下，建筑退让用地边界不作要求</w:t>
      </w:r>
      <w:r>
        <w:rPr>
          <w:color w:val="auto"/>
          <w:spacing w:val="-1"/>
          <w:highlight w:val="none"/>
          <w:lang w:eastAsia="zh-CN"/>
        </w:rPr>
        <w:t>。</w:t>
      </w:r>
    </w:p>
    <w:p w14:paraId="7BE0BD8F">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第四十</w:t>
      </w:r>
      <w:r>
        <w:rPr>
          <w:rFonts w:hint="eastAsia" w:ascii="微软雅黑" w:hAnsi="微软雅黑" w:eastAsia="微软雅黑"/>
          <w:b/>
          <w:color w:val="auto"/>
          <w:highlight w:val="none"/>
          <w:lang w:val="en-US" w:eastAsia="zh-CN"/>
        </w:rPr>
        <w:t>九</w:t>
      </w:r>
      <w:r>
        <w:rPr>
          <w:rFonts w:hint="eastAsia" w:ascii="微软雅黑" w:hAnsi="微软雅黑" w:eastAsia="微软雅黑"/>
          <w:b/>
          <w:color w:val="auto"/>
          <w:highlight w:val="none"/>
          <w:lang w:eastAsia="zh-CN"/>
        </w:rPr>
        <w:t xml:space="preserve">条 </w:t>
      </w:r>
      <w:r>
        <w:rPr>
          <w:rFonts w:hint="eastAsia"/>
          <w:color w:val="auto"/>
          <w:spacing w:val="-10"/>
          <w:highlight w:val="none"/>
          <w:lang w:eastAsia="zh-CN"/>
        </w:rPr>
        <w:t>河道两岸控制范围，有堤防（护岸）的，在堤防管理范围内不允许建房，无堤防或无防洪规划的河道，在河道管理范围内不允许建房，堤防管理范围及河道管理范围均以政府部门实际划定并公示的为准。如无划定，则应满足下表要求</w:t>
      </w:r>
      <w:r>
        <w:rPr>
          <w:color w:val="auto"/>
          <w:spacing w:val="-3"/>
          <w:highlight w:val="none"/>
          <w:lang w:eastAsia="zh-CN"/>
        </w:rPr>
        <w:t>。</w:t>
      </w:r>
    </w:p>
    <w:p w14:paraId="77D51ABF">
      <w:pPr>
        <w:spacing w:line="360" w:lineRule="auto"/>
        <w:ind w:left="110" w:leftChars="50" w:right="110" w:rightChars="50" w:firstLine="560" w:firstLineChars="200"/>
        <w:jc w:val="center"/>
        <w:rPr>
          <w:rFonts w:hint="eastAsia"/>
          <w:color w:val="auto"/>
          <w:sz w:val="28"/>
          <w:szCs w:val="28"/>
          <w:highlight w:val="none"/>
          <w:lang w:eastAsia="zh-CN"/>
        </w:rPr>
      </w:pPr>
      <w:r>
        <w:rPr>
          <w:rFonts w:hint="eastAsia"/>
          <w:color w:val="auto"/>
          <w:sz w:val="28"/>
          <w:szCs w:val="28"/>
          <w:highlight w:val="none"/>
          <w:lang w:eastAsia="zh-CN"/>
        </w:rPr>
        <w:t xml:space="preserve">表 </w:t>
      </w:r>
      <w:r>
        <w:rPr>
          <w:color w:val="auto"/>
          <w:sz w:val="28"/>
          <w:szCs w:val="28"/>
          <w:highlight w:val="none"/>
          <w:lang w:eastAsia="zh-CN"/>
        </w:rPr>
        <w:t xml:space="preserve">5.3 </w:t>
      </w:r>
      <w:r>
        <w:rPr>
          <w:rFonts w:hint="eastAsia"/>
          <w:color w:val="auto"/>
          <w:sz w:val="28"/>
          <w:szCs w:val="28"/>
          <w:highlight w:val="none"/>
          <w:lang w:eastAsia="zh-CN"/>
        </w:rPr>
        <w:t>河道管理范围控制指标表</w:t>
      </w: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5"/>
        <w:gridCol w:w="1845"/>
        <w:gridCol w:w="7047"/>
      </w:tblGrid>
      <w:tr w14:paraId="1D2A7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690" w:type="dxa"/>
            <w:gridSpan w:val="2"/>
          </w:tcPr>
          <w:p w14:paraId="456FFEB5">
            <w:pPr>
              <w:pStyle w:val="44"/>
              <w:spacing w:line="360" w:lineRule="auto"/>
              <w:ind w:left="110" w:leftChars="50" w:right="110" w:rightChars="50"/>
              <w:rPr>
                <w:rFonts w:hint="eastAsia"/>
                <w:color w:val="auto"/>
                <w:highlight w:val="none"/>
              </w:rPr>
            </w:pPr>
            <w:r>
              <w:rPr>
                <w:color w:val="auto"/>
                <w:highlight w:val="none"/>
              </w:rPr>
              <w:t>河道类型</w:t>
            </w:r>
          </w:p>
        </w:tc>
        <w:tc>
          <w:tcPr>
            <w:tcW w:w="7047" w:type="dxa"/>
          </w:tcPr>
          <w:p w14:paraId="748B4031">
            <w:pPr>
              <w:pStyle w:val="44"/>
              <w:spacing w:line="360" w:lineRule="auto"/>
              <w:ind w:left="110" w:leftChars="50" w:right="110" w:rightChars="50"/>
              <w:rPr>
                <w:rFonts w:hint="eastAsia"/>
                <w:color w:val="auto"/>
                <w:highlight w:val="none"/>
              </w:rPr>
            </w:pPr>
            <w:r>
              <w:rPr>
                <w:color w:val="auto"/>
                <w:highlight w:val="none"/>
              </w:rPr>
              <w:t>管理范围</w:t>
            </w:r>
          </w:p>
        </w:tc>
      </w:tr>
      <w:tr w14:paraId="44698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45" w:type="dxa"/>
            <w:vMerge w:val="restart"/>
          </w:tcPr>
          <w:p w14:paraId="0B447AF0">
            <w:pPr>
              <w:pStyle w:val="44"/>
              <w:spacing w:line="360" w:lineRule="auto"/>
              <w:ind w:left="110" w:leftChars="50" w:right="110" w:rightChars="50"/>
              <w:jc w:val="left"/>
              <w:rPr>
                <w:rFonts w:hint="eastAsia"/>
                <w:color w:val="auto"/>
                <w:highlight w:val="none"/>
              </w:rPr>
            </w:pPr>
            <w:r>
              <w:rPr>
                <w:color w:val="auto"/>
                <w:highlight w:val="none"/>
              </w:rPr>
              <w:t>有堤防的河道</w:t>
            </w:r>
          </w:p>
        </w:tc>
        <w:tc>
          <w:tcPr>
            <w:tcW w:w="1845" w:type="dxa"/>
          </w:tcPr>
          <w:p w14:paraId="5D2CF087">
            <w:pPr>
              <w:pStyle w:val="44"/>
              <w:spacing w:line="360" w:lineRule="auto"/>
              <w:ind w:left="110" w:leftChars="50" w:right="110" w:rightChars="50"/>
              <w:jc w:val="right"/>
              <w:rPr>
                <w:rFonts w:hint="eastAsia"/>
                <w:color w:val="auto"/>
                <w:highlight w:val="none"/>
              </w:rPr>
            </w:pPr>
            <w:r>
              <w:rPr>
                <w:color w:val="auto"/>
                <w:highlight w:val="none"/>
              </w:rPr>
              <w:t>一、二级堤防</w:t>
            </w:r>
          </w:p>
        </w:tc>
        <w:tc>
          <w:tcPr>
            <w:tcW w:w="7047" w:type="dxa"/>
          </w:tcPr>
          <w:p w14:paraId="20144360">
            <w:pPr>
              <w:pStyle w:val="44"/>
              <w:spacing w:line="360" w:lineRule="auto"/>
              <w:ind w:left="110" w:leftChars="50" w:right="110" w:rightChars="50"/>
              <w:rPr>
                <w:rFonts w:hint="eastAsia"/>
                <w:color w:val="auto"/>
                <w:highlight w:val="none"/>
                <w:lang w:eastAsia="zh-CN"/>
              </w:rPr>
            </w:pPr>
            <w:r>
              <w:rPr>
                <w:color w:val="auto"/>
                <w:highlight w:val="none"/>
                <w:lang w:eastAsia="zh-CN"/>
              </w:rPr>
              <w:t>堤防迎、背水坡脚以外 20 至 50 米</w:t>
            </w:r>
          </w:p>
        </w:tc>
      </w:tr>
      <w:tr w14:paraId="32CB5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845" w:type="dxa"/>
            <w:vMerge w:val="continue"/>
            <w:tcBorders>
              <w:top w:val="nil"/>
            </w:tcBorders>
          </w:tcPr>
          <w:p w14:paraId="1FED5552">
            <w:pPr>
              <w:spacing w:line="360" w:lineRule="auto"/>
              <w:ind w:left="110" w:leftChars="50" w:right="110" w:rightChars="50"/>
              <w:rPr>
                <w:rFonts w:hint="eastAsia"/>
                <w:color w:val="auto"/>
                <w:highlight w:val="none"/>
                <w:lang w:eastAsia="zh-CN"/>
              </w:rPr>
            </w:pPr>
          </w:p>
        </w:tc>
        <w:tc>
          <w:tcPr>
            <w:tcW w:w="1845" w:type="dxa"/>
          </w:tcPr>
          <w:p w14:paraId="6EEEEE39">
            <w:pPr>
              <w:pStyle w:val="44"/>
              <w:spacing w:line="360" w:lineRule="auto"/>
              <w:ind w:left="110" w:leftChars="50" w:right="110" w:rightChars="50"/>
              <w:jc w:val="right"/>
              <w:rPr>
                <w:rFonts w:hint="eastAsia"/>
                <w:color w:val="auto"/>
                <w:highlight w:val="none"/>
              </w:rPr>
            </w:pPr>
            <w:r>
              <w:rPr>
                <w:color w:val="auto"/>
                <w:highlight w:val="none"/>
              </w:rPr>
              <w:t>三、四级堤防</w:t>
            </w:r>
          </w:p>
        </w:tc>
        <w:tc>
          <w:tcPr>
            <w:tcW w:w="7047" w:type="dxa"/>
          </w:tcPr>
          <w:p w14:paraId="5F35ECD4">
            <w:pPr>
              <w:pStyle w:val="44"/>
              <w:spacing w:line="360" w:lineRule="auto"/>
              <w:ind w:left="110" w:leftChars="50" w:right="110" w:rightChars="50"/>
              <w:rPr>
                <w:rFonts w:hint="eastAsia"/>
                <w:color w:val="auto"/>
                <w:highlight w:val="none"/>
                <w:lang w:eastAsia="zh-CN"/>
              </w:rPr>
            </w:pPr>
            <w:r>
              <w:rPr>
                <w:color w:val="auto"/>
                <w:highlight w:val="none"/>
                <w:lang w:eastAsia="zh-CN"/>
              </w:rPr>
              <w:t>堤防迎、背水坡脚以外 15 至 30 米</w:t>
            </w:r>
          </w:p>
        </w:tc>
      </w:tr>
      <w:tr w14:paraId="2DF6B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45" w:type="dxa"/>
            <w:vMerge w:val="continue"/>
            <w:tcBorders>
              <w:top w:val="nil"/>
            </w:tcBorders>
          </w:tcPr>
          <w:p w14:paraId="3F0A4DFD">
            <w:pPr>
              <w:spacing w:line="360" w:lineRule="auto"/>
              <w:ind w:left="110" w:leftChars="50" w:right="110" w:rightChars="50"/>
              <w:rPr>
                <w:rFonts w:hint="eastAsia"/>
                <w:color w:val="auto"/>
                <w:highlight w:val="none"/>
                <w:lang w:eastAsia="zh-CN"/>
              </w:rPr>
            </w:pPr>
          </w:p>
        </w:tc>
        <w:tc>
          <w:tcPr>
            <w:tcW w:w="1845" w:type="dxa"/>
          </w:tcPr>
          <w:p w14:paraId="095EBBB4">
            <w:pPr>
              <w:pStyle w:val="44"/>
              <w:spacing w:line="360" w:lineRule="auto"/>
              <w:ind w:left="110" w:leftChars="50" w:right="110" w:rightChars="50"/>
              <w:jc w:val="right"/>
              <w:rPr>
                <w:rFonts w:hint="eastAsia"/>
                <w:color w:val="auto"/>
                <w:highlight w:val="none"/>
              </w:rPr>
            </w:pPr>
            <w:r>
              <w:rPr>
                <w:color w:val="auto"/>
                <w:highlight w:val="none"/>
              </w:rPr>
              <w:t>四级以下堤防</w:t>
            </w:r>
          </w:p>
        </w:tc>
        <w:tc>
          <w:tcPr>
            <w:tcW w:w="7047" w:type="dxa"/>
          </w:tcPr>
          <w:p w14:paraId="1253A53C">
            <w:pPr>
              <w:pStyle w:val="44"/>
              <w:spacing w:line="360" w:lineRule="auto"/>
              <w:ind w:left="110" w:leftChars="50" w:right="110" w:rightChars="50"/>
              <w:rPr>
                <w:rFonts w:hint="eastAsia"/>
                <w:color w:val="auto"/>
                <w:highlight w:val="none"/>
                <w:lang w:eastAsia="zh-CN"/>
              </w:rPr>
            </w:pPr>
            <w:r>
              <w:rPr>
                <w:color w:val="auto"/>
                <w:highlight w:val="none"/>
                <w:lang w:eastAsia="zh-CN"/>
              </w:rPr>
              <w:t>堤防迎、背水坡脚以外 8 至 15 米</w:t>
            </w:r>
          </w:p>
        </w:tc>
      </w:tr>
      <w:tr w14:paraId="31960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2690" w:type="dxa"/>
            <w:gridSpan w:val="2"/>
          </w:tcPr>
          <w:p w14:paraId="6C908882">
            <w:pPr>
              <w:pStyle w:val="44"/>
              <w:spacing w:line="360" w:lineRule="auto"/>
              <w:ind w:left="110" w:leftChars="50" w:right="110" w:rightChars="50"/>
              <w:jc w:val="left"/>
              <w:rPr>
                <w:rFonts w:hint="eastAsia"/>
                <w:color w:val="auto"/>
                <w:highlight w:val="none"/>
              </w:rPr>
            </w:pPr>
            <w:r>
              <w:rPr>
                <w:color w:val="auto"/>
                <w:highlight w:val="none"/>
              </w:rPr>
              <w:t>无堤防的河道</w:t>
            </w:r>
          </w:p>
        </w:tc>
        <w:tc>
          <w:tcPr>
            <w:tcW w:w="7047" w:type="dxa"/>
          </w:tcPr>
          <w:p w14:paraId="7FD1E047">
            <w:pPr>
              <w:pStyle w:val="44"/>
              <w:spacing w:line="360" w:lineRule="auto"/>
              <w:ind w:left="110" w:leftChars="50" w:right="110" w:rightChars="50"/>
              <w:jc w:val="left"/>
              <w:rPr>
                <w:rFonts w:hint="eastAsia"/>
                <w:color w:val="auto"/>
                <w:highlight w:val="none"/>
                <w:lang w:eastAsia="zh-CN"/>
              </w:rPr>
            </w:pPr>
            <w:r>
              <w:rPr>
                <w:color w:val="auto"/>
                <w:highlight w:val="none"/>
                <w:lang w:eastAsia="zh-CN"/>
              </w:rPr>
              <w:t>按防洪规划确定的河道岸线、治导线或者规划两岸堤防走线之间的行洪区域、堤基地和护堤地确定</w:t>
            </w:r>
          </w:p>
        </w:tc>
      </w:tr>
      <w:tr w14:paraId="3D1FA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690" w:type="dxa"/>
            <w:gridSpan w:val="2"/>
          </w:tcPr>
          <w:p w14:paraId="640FD4C7">
            <w:pPr>
              <w:pStyle w:val="44"/>
              <w:spacing w:line="360" w:lineRule="auto"/>
              <w:ind w:left="110" w:leftChars="50" w:right="110" w:rightChars="50"/>
              <w:jc w:val="left"/>
              <w:rPr>
                <w:rFonts w:hint="eastAsia"/>
                <w:color w:val="auto"/>
                <w:highlight w:val="none"/>
              </w:rPr>
            </w:pPr>
            <w:r>
              <w:rPr>
                <w:color w:val="auto"/>
                <w:highlight w:val="none"/>
              </w:rPr>
              <w:t>无防洪规划的河道</w:t>
            </w:r>
          </w:p>
        </w:tc>
        <w:tc>
          <w:tcPr>
            <w:tcW w:w="7047" w:type="dxa"/>
          </w:tcPr>
          <w:p w14:paraId="4E62BDFE">
            <w:pPr>
              <w:pStyle w:val="44"/>
              <w:spacing w:line="360" w:lineRule="auto"/>
              <w:ind w:left="110" w:leftChars="50" w:right="110" w:rightChars="50"/>
              <w:jc w:val="left"/>
              <w:rPr>
                <w:rFonts w:hint="eastAsia"/>
                <w:color w:val="auto"/>
                <w:highlight w:val="none"/>
                <w:lang w:eastAsia="zh-CN"/>
              </w:rPr>
            </w:pPr>
            <w:r>
              <w:rPr>
                <w:color w:val="auto"/>
                <w:highlight w:val="none"/>
                <w:lang w:eastAsia="zh-CN"/>
              </w:rPr>
              <w:t>按历史最高洪水位或者设计洪水位之间的行洪河床确定。可以将河道管理范围以外的相连地域 30 至 50 米划定为堤防安全保护区</w:t>
            </w:r>
          </w:p>
        </w:tc>
      </w:tr>
    </w:tbl>
    <w:p w14:paraId="019A7759">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 xml:space="preserve">第五十条 </w:t>
      </w:r>
      <w:r>
        <w:rPr>
          <w:rFonts w:hint="eastAsia"/>
          <w:color w:val="auto"/>
          <w:spacing w:val="-15"/>
          <w:highlight w:val="none"/>
          <w:lang w:eastAsia="zh-CN"/>
        </w:rPr>
        <w:t>水库库区管理范围、保护范围、堤防安全保护区不得建房。水库库区校核洪水位以下（包括库内岛屿），坝首两端、下游坝脚及溢洪道两侧各50米至150 米为管理范围；管理范围以外150米至300米为保护范围</w:t>
      </w:r>
      <w:r>
        <w:rPr>
          <w:color w:val="auto"/>
          <w:highlight w:val="none"/>
          <w:lang w:eastAsia="zh-CN"/>
        </w:rPr>
        <w:t>。</w:t>
      </w:r>
    </w:p>
    <w:p w14:paraId="1DE131C7">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一</w:t>
      </w:r>
      <w:r>
        <w:rPr>
          <w:rFonts w:hint="eastAsia" w:ascii="微软雅黑" w:hAnsi="微软雅黑" w:eastAsia="微软雅黑"/>
          <w:b/>
          <w:color w:val="auto"/>
          <w:highlight w:val="none"/>
          <w:lang w:eastAsia="zh-CN"/>
        </w:rPr>
        <w:t>条</w:t>
      </w:r>
      <w:r>
        <w:rPr>
          <w:rFonts w:hint="eastAsia"/>
          <w:b/>
          <w:color w:val="auto"/>
          <w:spacing w:val="13"/>
          <w:highlight w:val="none"/>
          <w:lang w:eastAsia="zh-CN"/>
        </w:rPr>
        <w:t xml:space="preserve"> </w:t>
      </w:r>
      <w:r>
        <w:rPr>
          <w:rFonts w:hint="eastAsia"/>
          <w:color w:val="auto"/>
          <w:spacing w:val="-15"/>
          <w:highlight w:val="none"/>
          <w:lang w:eastAsia="zh-CN"/>
        </w:rPr>
        <w:t>渠道管理范围、保护范围、堤防安全保护区不得建房。渠道左右外边坡脚线之间为管理范围；渠道经过山地的，渠堤外坡脚以外各10米至30米为保护范围；渠道经过耕作区的，渠堤外坡脚以外各3米至5米为保护范围</w:t>
      </w:r>
      <w:r>
        <w:rPr>
          <w:color w:val="auto"/>
          <w:spacing w:val="-15"/>
          <w:highlight w:val="none"/>
          <w:lang w:eastAsia="zh-CN"/>
        </w:rPr>
        <w:t>。</w:t>
      </w:r>
    </w:p>
    <w:p w14:paraId="633F6BB8">
      <w:pPr>
        <w:pStyle w:val="11"/>
        <w:tabs>
          <w:tab w:val="left" w:pos="2200"/>
        </w:tabs>
        <w:spacing w:line="360" w:lineRule="auto"/>
        <w:ind w:left="110" w:leftChars="50" w:right="110" w:rightChars="50" w:firstLine="560" w:firstLineChars="200"/>
        <w:rPr>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条</w:t>
      </w:r>
      <w:r>
        <w:rPr>
          <w:rFonts w:hint="eastAsia"/>
          <w:b/>
          <w:color w:val="auto"/>
          <w:spacing w:val="-3"/>
          <w:highlight w:val="none"/>
          <w:lang w:eastAsia="zh-CN"/>
        </w:rPr>
        <w:t xml:space="preserve"> </w:t>
      </w:r>
      <w:r>
        <w:rPr>
          <w:rFonts w:hint="eastAsia"/>
          <w:color w:val="auto"/>
          <w:highlight w:val="none"/>
          <w:lang w:eastAsia="zh-CN"/>
        </w:rPr>
        <w:t>退让历史文化保护线应按照历史文化保护规划等有关规定执行</w:t>
      </w:r>
      <w:r>
        <w:rPr>
          <w:color w:val="auto"/>
          <w:highlight w:val="none"/>
          <w:lang w:eastAsia="zh-CN"/>
        </w:rPr>
        <w:t>。</w:t>
      </w:r>
    </w:p>
    <w:p w14:paraId="30F5336F">
      <w:pPr>
        <w:pStyle w:val="11"/>
        <w:tabs>
          <w:tab w:val="left" w:pos="2200"/>
        </w:tabs>
        <w:spacing w:line="360" w:lineRule="auto"/>
        <w:ind w:left="110" w:leftChars="50" w:right="110" w:rightChars="50" w:firstLine="560" w:firstLineChars="200"/>
        <w:rPr>
          <w:color w:val="auto"/>
          <w:highlight w:val="none"/>
          <w:lang w:eastAsia="zh-CN"/>
        </w:rPr>
      </w:pPr>
    </w:p>
    <w:p w14:paraId="131461AD">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30" w:name="_bookmark19"/>
      <w:bookmarkEnd w:id="30"/>
      <w:r>
        <w:rPr>
          <w:rFonts w:ascii="微软雅黑" w:hAnsi="微软雅黑" w:eastAsia="微软雅黑" w:cs="微软雅黑"/>
          <w:b/>
          <w:bCs/>
          <w:color w:val="auto"/>
          <w:sz w:val="30"/>
          <w:szCs w:val="30"/>
          <w:highlight w:val="none"/>
          <w:lang w:eastAsia="zh-CN"/>
        </w:rPr>
        <w:t>第三节 建筑间距</w:t>
      </w:r>
    </w:p>
    <w:p w14:paraId="0FF3F454">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三</w:t>
      </w:r>
      <w:r>
        <w:rPr>
          <w:rFonts w:hint="eastAsia" w:ascii="微软雅黑" w:hAnsi="微软雅黑" w:eastAsia="微软雅黑"/>
          <w:b/>
          <w:color w:val="auto"/>
          <w:highlight w:val="none"/>
          <w:lang w:eastAsia="zh-CN"/>
        </w:rPr>
        <w:t xml:space="preserve">条 </w:t>
      </w:r>
      <w:r>
        <w:rPr>
          <w:rFonts w:hint="eastAsia"/>
          <w:color w:val="auto"/>
          <w:spacing w:val="-17"/>
          <w:highlight w:val="none"/>
          <w:lang w:eastAsia="zh-CN"/>
        </w:rPr>
        <w:t>建筑间距应不妨害相邻权、地役权，应保证相邻房屋的正常采光和通行要求，应符合《农村防火规范》（GB 50039）的规定</w:t>
      </w:r>
      <w:r>
        <w:rPr>
          <w:color w:val="auto"/>
          <w:spacing w:val="-2"/>
          <w:highlight w:val="none"/>
          <w:lang w:eastAsia="zh-CN"/>
        </w:rPr>
        <w:t>。</w:t>
      </w:r>
    </w:p>
    <w:p w14:paraId="1CF10320">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四</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乡村厂房、仓库、公共建筑和建筑高度超过15 米的居住建筑的建筑退让间距应执行国家标准《建筑设计防火规范》（GB 50016）的规定</w:t>
      </w:r>
      <w:r>
        <w:rPr>
          <w:color w:val="auto"/>
          <w:highlight w:val="none"/>
          <w:lang w:eastAsia="zh-CN"/>
        </w:rPr>
        <w:t>。</w:t>
      </w:r>
    </w:p>
    <w:p w14:paraId="65119679">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五</w:t>
      </w:r>
      <w:r>
        <w:rPr>
          <w:rFonts w:hint="eastAsia" w:ascii="微软雅黑" w:hAnsi="微软雅黑" w:eastAsia="微软雅黑"/>
          <w:b/>
          <w:color w:val="auto"/>
          <w:highlight w:val="none"/>
          <w:lang w:eastAsia="zh-CN"/>
        </w:rPr>
        <w:t xml:space="preserve">条 </w:t>
      </w:r>
      <w:r>
        <w:rPr>
          <w:rFonts w:hint="eastAsia"/>
          <w:color w:val="auto"/>
          <w:spacing w:val="-15"/>
          <w:highlight w:val="none"/>
          <w:lang w:eastAsia="zh-CN"/>
        </w:rPr>
        <w:t>乡村建筑的耐火等级不宜低于一、二级，建筑耐火等级的划分应符合现行国家标准《建筑设计防火规范》（GB 50016）的规定</w:t>
      </w:r>
      <w:r>
        <w:rPr>
          <w:color w:val="auto"/>
          <w:highlight w:val="none"/>
          <w:lang w:eastAsia="zh-CN"/>
        </w:rPr>
        <w:t>。</w:t>
      </w:r>
    </w:p>
    <w:p w14:paraId="6EC69478">
      <w:pPr>
        <w:pStyle w:val="11"/>
        <w:spacing w:line="360" w:lineRule="auto"/>
        <w:ind w:left="110" w:leftChars="50" w:right="110" w:rightChars="50" w:firstLine="560" w:firstLineChars="200"/>
        <w:rPr>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一、二级耐火等级建筑之间或与其他耐火等级建筑之间的防火间距不宜小于4 米；三、四级耐火等级建筑之间的防火间距不宜小于6 米</w:t>
      </w:r>
      <w:r>
        <w:rPr>
          <w:color w:val="auto"/>
          <w:highlight w:val="none"/>
          <w:lang w:eastAsia="zh-CN"/>
        </w:rPr>
        <w:t>。</w:t>
      </w:r>
    </w:p>
    <w:p w14:paraId="533AAABE">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31" w:name="_bookmark20"/>
      <w:bookmarkEnd w:id="31"/>
      <w:r>
        <w:rPr>
          <w:rFonts w:ascii="微软雅黑" w:hAnsi="微软雅黑" w:eastAsia="微软雅黑" w:cs="微软雅黑"/>
          <w:b/>
          <w:bCs/>
          <w:color w:val="auto"/>
          <w:sz w:val="30"/>
          <w:szCs w:val="30"/>
          <w:highlight w:val="none"/>
          <w:lang w:eastAsia="zh-CN"/>
        </w:rPr>
        <w:t>第四节 建筑高度</w:t>
      </w:r>
    </w:p>
    <w:p w14:paraId="0CB50B46">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条</w:t>
      </w:r>
      <w:r>
        <w:rPr>
          <w:rFonts w:hint="eastAsia"/>
          <w:b/>
          <w:color w:val="auto"/>
          <w:spacing w:val="12"/>
          <w:highlight w:val="none"/>
          <w:lang w:eastAsia="zh-CN"/>
        </w:rPr>
        <w:t xml:space="preserve"> </w:t>
      </w:r>
      <w:r>
        <w:rPr>
          <w:rFonts w:hint="eastAsia"/>
          <w:color w:val="auto"/>
          <w:spacing w:val="-15"/>
          <w:highlight w:val="none"/>
          <w:lang w:eastAsia="zh-CN"/>
        </w:rPr>
        <w:t>乡村建筑高度除必须满足消防、安全、通风、日照等要求外，还应根据建筑物所在地区的实际情况来控制建筑高度</w:t>
      </w:r>
      <w:r>
        <w:rPr>
          <w:color w:val="auto"/>
          <w:spacing w:val="-8"/>
          <w:highlight w:val="none"/>
          <w:lang w:eastAsia="zh-CN"/>
        </w:rPr>
        <w:t>。</w:t>
      </w:r>
    </w:p>
    <w:p w14:paraId="187E4483">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八</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在文物保护单位和历史文化名村、传统村落等具有历史文化意义的地区或建筑周围进行建设的，必须符合相应的保护条例，应符合保护规划规定的高度控制要求</w:t>
      </w:r>
      <w:r>
        <w:rPr>
          <w:color w:val="auto"/>
          <w:highlight w:val="none"/>
          <w:lang w:eastAsia="zh-CN"/>
        </w:rPr>
        <w:t>。</w:t>
      </w:r>
    </w:p>
    <w:p w14:paraId="3F172564">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第五十</w:t>
      </w:r>
      <w:r>
        <w:rPr>
          <w:rFonts w:hint="eastAsia" w:ascii="微软雅黑" w:hAnsi="微软雅黑" w:eastAsia="微软雅黑"/>
          <w:b/>
          <w:color w:val="auto"/>
          <w:highlight w:val="none"/>
          <w:lang w:val="en-US" w:eastAsia="zh-CN"/>
        </w:rPr>
        <w:t>九</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在自然保护区和重要的生态环境地区周围进行建设的，应符合相应的保护条例、保护规划的规定的高度控制要求</w:t>
      </w:r>
      <w:r>
        <w:rPr>
          <w:color w:val="auto"/>
          <w:highlight w:val="none"/>
          <w:lang w:eastAsia="zh-CN"/>
        </w:rPr>
        <w:t>。</w:t>
      </w:r>
    </w:p>
    <w:p w14:paraId="760231F6">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 xml:space="preserve">第六十条 </w:t>
      </w:r>
      <w:r>
        <w:rPr>
          <w:rFonts w:hint="eastAsia"/>
          <w:color w:val="auto"/>
          <w:highlight w:val="none"/>
          <w:lang w:eastAsia="zh-CN"/>
        </w:rPr>
        <w:t>在重要的城市景观环境地区周围进行建设的，还应满足城市设计的高度控制要求</w:t>
      </w:r>
      <w:r>
        <w:rPr>
          <w:color w:val="auto"/>
          <w:highlight w:val="none"/>
          <w:lang w:eastAsia="zh-CN"/>
        </w:rPr>
        <w:t>。</w:t>
      </w:r>
    </w:p>
    <w:p w14:paraId="4D4392E4">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第六十</w:t>
      </w:r>
      <w:r>
        <w:rPr>
          <w:rFonts w:hint="eastAsia" w:ascii="微软雅黑" w:hAnsi="微软雅黑" w:eastAsia="微软雅黑"/>
          <w:b/>
          <w:color w:val="auto"/>
          <w:highlight w:val="none"/>
          <w:lang w:val="en-US" w:eastAsia="zh-CN"/>
        </w:rPr>
        <w:t>一</w:t>
      </w:r>
      <w:r>
        <w:rPr>
          <w:rFonts w:hint="eastAsia" w:ascii="微软雅黑" w:hAnsi="微软雅黑" w:eastAsia="微软雅黑"/>
          <w:b/>
          <w:color w:val="auto"/>
          <w:highlight w:val="none"/>
          <w:lang w:eastAsia="zh-CN"/>
        </w:rPr>
        <w:t>条</w:t>
      </w:r>
      <w:r>
        <w:rPr>
          <w:rFonts w:hint="eastAsia"/>
          <w:b/>
          <w:color w:val="auto"/>
          <w:spacing w:val="9"/>
          <w:highlight w:val="none"/>
          <w:lang w:eastAsia="zh-CN"/>
        </w:rPr>
        <w:t xml:space="preserve"> </w:t>
      </w:r>
      <w:r>
        <w:rPr>
          <w:rFonts w:hint="eastAsia"/>
          <w:color w:val="auto"/>
          <w:spacing w:val="-5"/>
          <w:highlight w:val="none"/>
          <w:lang w:eastAsia="zh-CN"/>
        </w:rPr>
        <w:t>农村新建住宅建筑层数应严格控制在</w:t>
      </w:r>
      <w:r>
        <w:rPr>
          <w:rFonts w:hint="eastAsia"/>
          <w:color w:val="auto"/>
          <w:spacing w:val="-5"/>
          <w:highlight w:val="none"/>
          <w:lang w:val="en-US" w:eastAsia="zh-CN"/>
        </w:rPr>
        <w:t>3</w:t>
      </w:r>
      <w:r>
        <w:rPr>
          <w:rFonts w:hint="eastAsia"/>
          <w:color w:val="auto"/>
          <w:spacing w:val="-5"/>
          <w:highlight w:val="none"/>
          <w:lang w:eastAsia="zh-CN"/>
        </w:rPr>
        <w:t>层以内，建筑总高度不能超过1</w:t>
      </w:r>
      <w:r>
        <w:rPr>
          <w:rFonts w:hint="eastAsia"/>
          <w:color w:val="auto"/>
          <w:spacing w:val="-5"/>
          <w:highlight w:val="none"/>
          <w:lang w:val="en-US" w:eastAsia="zh-CN"/>
        </w:rPr>
        <w:t>0.4</w:t>
      </w:r>
      <w:r>
        <w:rPr>
          <w:rFonts w:hint="eastAsia"/>
          <w:color w:val="auto"/>
          <w:spacing w:val="-5"/>
          <w:highlight w:val="none"/>
          <w:lang w:eastAsia="zh-CN"/>
        </w:rPr>
        <w:t>米，建筑高度均以室外地坪（±0.000）标高起计</w:t>
      </w:r>
      <w:r>
        <w:rPr>
          <w:color w:val="auto"/>
          <w:spacing w:val="-1"/>
          <w:highlight w:val="none"/>
          <w:lang w:eastAsia="zh-CN"/>
        </w:rPr>
        <w:t>。</w:t>
      </w:r>
      <w:r>
        <w:rPr>
          <w:rFonts w:hint="eastAsia"/>
          <w:color w:val="auto"/>
          <w:spacing w:val="-1"/>
          <w:highlight w:val="none"/>
          <w:lang w:eastAsia="zh-CN"/>
        </w:rPr>
        <w:t>房屋首层建筑高度原则上不大于4m，第二、三层建筑高度不大于3.2m。建筑屋面构造形式采用全坡屋面或半坡屋面形式。其他相关事宜参照《柳州市农村农民建房“一件事”办事指南》、</w:t>
      </w:r>
      <w:r>
        <w:rPr>
          <w:rFonts w:hint="eastAsia"/>
          <w:color w:val="auto"/>
          <w:spacing w:val="-1"/>
          <w:highlight w:val="none"/>
          <w:lang w:val="en-US" w:eastAsia="zh-CN"/>
        </w:rPr>
        <w:t>柳南</w:t>
      </w:r>
      <w:r>
        <w:rPr>
          <w:rFonts w:hint="eastAsia"/>
          <w:color w:val="auto"/>
          <w:spacing w:val="-1"/>
          <w:highlight w:val="none"/>
          <w:lang w:eastAsia="zh-CN"/>
        </w:rPr>
        <w:t>区农村新增宅基地审批和建房管理工作实施的相关规定等。</w:t>
      </w:r>
    </w:p>
    <w:p w14:paraId="4BD99A0F">
      <w:pPr>
        <w:pStyle w:val="11"/>
        <w:tabs>
          <w:tab w:val="left" w:pos="2200"/>
        </w:tabs>
        <w:spacing w:line="360" w:lineRule="auto"/>
        <w:ind w:left="330" w:leftChars="150" w:right="110" w:rightChars="50" w:firstLine="280" w:firstLineChars="100"/>
        <w:rPr>
          <w:rFonts w:hint="eastAsia"/>
          <w:color w:val="auto"/>
          <w:highlight w:val="none"/>
          <w:lang w:eastAsia="zh-CN"/>
        </w:rPr>
      </w:pPr>
      <w:r>
        <w:rPr>
          <w:rFonts w:hint="eastAsia" w:ascii="微软雅黑" w:hAnsi="微软雅黑" w:eastAsia="微软雅黑"/>
          <w:b/>
          <w:color w:val="auto"/>
          <w:highlight w:val="none"/>
          <w:lang w:eastAsia="zh-CN"/>
        </w:rPr>
        <w:t>第六十</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农村公共服务设施建筑高度应符合以下规定：</w:t>
      </w:r>
    </w:p>
    <w:p w14:paraId="58D62800">
      <w:pPr>
        <w:pStyle w:val="11"/>
        <w:tabs>
          <w:tab w:val="left" w:pos="2200"/>
        </w:tabs>
        <w:spacing w:line="360" w:lineRule="auto"/>
        <w:ind w:left="110" w:leftChars="50" w:right="110" w:rightChars="50" w:firstLine="560" w:firstLineChars="200"/>
        <w:rPr>
          <w:color w:val="auto"/>
          <w:highlight w:val="none"/>
          <w:lang w:eastAsia="zh-CN"/>
        </w:rPr>
      </w:pPr>
      <w:r>
        <w:rPr>
          <w:rFonts w:hint="eastAsia"/>
          <w:color w:val="auto"/>
          <w:highlight w:val="none"/>
          <w:lang w:eastAsia="zh-CN"/>
        </w:rPr>
        <w:t>（一）村级公共服务中心建筑按照审查通过的建设工程设计方案确定的建筑高度执行。</w:t>
      </w:r>
    </w:p>
    <w:p w14:paraId="34671DA7">
      <w:pPr>
        <w:pStyle w:val="11"/>
        <w:tabs>
          <w:tab w:val="left" w:pos="2200"/>
        </w:tabs>
        <w:spacing w:line="360" w:lineRule="auto"/>
        <w:ind w:left="110" w:leftChars="50" w:right="110" w:rightChars="50" w:firstLine="560" w:firstLineChars="200"/>
        <w:rPr>
          <w:color w:val="auto"/>
          <w:highlight w:val="none"/>
          <w:lang w:eastAsia="zh-CN"/>
        </w:rPr>
      </w:pPr>
      <w:r>
        <w:rPr>
          <w:rFonts w:hint="eastAsia"/>
          <w:color w:val="auto"/>
          <w:highlight w:val="none"/>
          <w:lang w:eastAsia="zh-CN"/>
        </w:rPr>
        <w:t>（二）农村小学的主要教学用房不应设在</w:t>
      </w:r>
      <w:r>
        <w:rPr>
          <w:rFonts w:hint="eastAsia"/>
          <w:color w:val="auto"/>
          <w:highlight w:val="none"/>
          <w:lang w:val="en-US" w:eastAsia="zh-CN"/>
        </w:rPr>
        <w:t>4</w:t>
      </w:r>
      <w:r>
        <w:rPr>
          <w:rFonts w:hint="eastAsia"/>
          <w:color w:val="auto"/>
          <w:highlight w:val="none"/>
          <w:lang w:eastAsia="zh-CN"/>
        </w:rPr>
        <w:t>层以上；农村幼儿园生活用房应布置在</w:t>
      </w:r>
      <w:r>
        <w:rPr>
          <w:rFonts w:hint="eastAsia"/>
          <w:color w:val="auto"/>
          <w:highlight w:val="none"/>
          <w:lang w:val="en-US" w:eastAsia="zh-CN"/>
        </w:rPr>
        <w:t>3</w:t>
      </w:r>
      <w:r>
        <w:rPr>
          <w:rFonts w:hint="eastAsia"/>
          <w:color w:val="auto"/>
          <w:highlight w:val="none"/>
          <w:lang w:eastAsia="zh-CN"/>
        </w:rPr>
        <w:t>层及以下</w:t>
      </w:r>
      <w:r>
        <w:rPr>
          <w:color w:val="auto"/>
          <w:highlight w:val="none"/>
          <w:lang w:eastAsia="zh-CN"/>
        </w:rPr>
        <w:t>。</w:t>
      </w:r>
    </w:p>
    <w:p w14:paraId="72E96DED">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32" w:name="_bookmark21"/>
      <w:bookmarkEnd w:id="32"/>
      <w:r>
        <w:rPr>
          <w:rFonts w:ascii="微软雅黑" w:hAnsi="微软雅黑" w:eastAsia="微软雅黑" w:cs="微软雅黑"/>
          <w:b/>
          <w:bCs/>
          <w:color w:val="auto"/>
          <w:sz w:val="30"/>
          <w:szCs w:val="30"/>
          <w:highlight w:val="none"/>
          <w:lang w:eastAsia="zh-CN"/>
        </w:rPr>
        <w:t>第五节 建设指标</w:t>
      </w:r>
    </w:p>
    <w:p w14:paraId="002B0A46">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第六十</w:t>
      </w:r>
      <w:r>
        <w:rPr>
          <w:rFonts w:hint="eastAsia" w:ascii="微软雅黑" w:hAnsi="微软雅黑" w:eastAsia="微软雅黑"/>
          <w:b/>
          <w:color w:val="auto"/>
          <w:highlight w:val="none"/>
          <w:lang w:val="en-US" w:eastAsia="zh-CN"/>
        </w:rPr>
        <w:t>三</w:t>
      </w:r>
      <w:r>
        <w:rPr>
          <w:rFonts w:hint="eastAsia" w:ascii="微软雅黑" w:hAnsi="微软雅黑" w:eastAsia="微软雅黑"/>
          <w:b/>
          <w:color w:val="auto"/>
          <w:highlight w:val="none"/>
          <w:lang w:eastAsia="zh-CN"/>
        </w:rPr>
        <w:t xml:space="preserve">条 </w:t>
      </w:r>
      <w:r>
        <w:rPr>
          <w:rFonts w:hint="eastAsia"/>
          <w:color w:val="auto"/>
          <w:spacing w:val="-16"/>
          <w:highlight w:val="none"/>
          <w:lang w:eastAsia="zh-CN"/>
        </w:rPr>
        <w:t>村民住房、乡村公共服务设施、市政公用设施、乡村产业等各类乡村建设用地的开发建设指标控制可参照下表执行</w:t>
      </w:r>
      <w:r>
        <w:rPr>
          <w:color w:val="auto"/>
          <w:spacing w:val="-3"/>
          <w:highlight w:val="none"/>
          <w:lang w:eastAsia="zh-CN"/>
        </w:rPr>
        <w:t>。</w:t>
      </w:r>
    </w:p>
    <w:p w14:paraId="0E35C592">
      <w:pPr>
        <w:spacing w:line="360" w:lineRule="auto"/>
        <w:ind w:left="110" w:leftChars="50" w:right="110" w:rightChars="50" w:firstLine="560" w:firstLineChars="200"/>
        <w:jc w:val="center"/>
        <w:rPr>
          <w:rFonts w:hint="eastAsia"/>
          <w:color w:val="auto"/>
          <w:sz w:val="28"/>
          <w:szCs w:val="28"/>
          <w:highlight w:val="none"/>
        </w:rPr>
      </w:pPr>
      <w:r>
        <w:rPr>
          <w:rFonts w:hint="eastAsia"/>
          <w:color w:val="auto"/>
          <w:sz w:val="28"/>
          <w:szCs w:val="28"/>
          <w:highlight w:val="none"/>
        </w:rPr>
        <w:t xml:space="preserve">表 </w:t>
      </w:r>
      <w:r>
        <w:rPr>
          <w:color w:val="auto"/>
          <w:sz w:val="28"/>
          <w:szCs w:val="28"/>
          <w:highlight w:val="none"/>
        </w:rPr>
        <w:t xml:space="preserve">5.4  </w:t>
      </w:r>
      <w:r>
        <w:rPr>
          <w:rFonts w:hint="eastAsia"/>
          <w:color w:val="auto"/>
          <w:sz w:val="28"/>
          <w:szCs w:val="28"/>
          <w:highlight w:val="none"/>
        </w:rPr>
        <w:t>乡村建设指标指引表</w:t>
      </w:r>
    </w:p>
    <w:tbl>
      <w:tblPr>
        <w:tblStyle w:val="4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1419"/>
        <w:gridCol w:w="2072"/>
        <w:gridCol w:w="1529"/>
        <w:gridCol w:w="2985"/>
      </w:tblGrid>
      <w:tr w14:paraId="6F316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697" w:type="dxa"/>
            <w:vAlign w:val="center"/>
          </w:tcPr>
          <w:p w14:paraId="3FE936FA">
            <w:pPr>
              <w:pStyle w:val="44"/>
              <w:spacing w:line="360" w:lineRule="auto"/>
              <w:ind w:left="110" w:leftChars="50" w:right="110" w:rightChars="50"/>
              <w:jc w:val="center"/>
              <w:rPr>
                <w:rFonts w:hint="eastAsia"/>
                <w:color w:val="auto"/>
                <w:highlight w:val="none"/>
              </w:rPr>
            </w:pPr>
            <w:r>
              <w:rPr>
                <w:color w:val="auto"/>
                <w:highlight w:val="none"/>
              </w:rPr>
              <w:t>类型</w:t>
            </w:r>
          </w:p>
        </w:tc>
        <w:tc>
          <w:tcPr>
            <w:tcW w:w="3491" w:type="dxa"/>
            <w:gridSpan w:val="2"/>
            <w:vAlign w:val="center"/>
          </w:tcPr>
          <w:p w14:paraId="70EEDADB">
            <w:pPr>
              <w:pStyle w:val="44"/>
              <w:spacing w:line="360" w:lineRule="auto"/>
              <w:ind w:left="110" w:leftChars="50" w:right="110" w:rightChars="50"/>
              <w:jc w:val="center"/>
              <w:rPr>
                <w:rFonts w:hint="eastAsia"/>
                <w:color w:val="auto"/>
                <w:highlight w:val="none"/>
              </w:rPr>
            </w:pPr>
            <w:r>
              <w:rPr>
                <w:color w:val="auto"/>
                <w:highlight w:val="none"/>
              </w:rPr>
              <w:t>用地性质</w:t>
            </w:r>
          </w:p>
        </w:tc>
        <w:tc>
          <w:tcPr>
            <w:tcW w:w="1529" w:type="dxa"/>
            <w:vAlign w:val="center"/>
          </w:tcPr>
          <w:p w14:paraId="164F0543">
            <w:pPr>
              <w:pStyle w:val="44"/>
              <w:spacing w:line="360" w:lineRule="auto"/>
              <w:ind w:left="110" w:leftChars="50" w:right="110" w:rightChars="50"/>
              <w:jc w:val="center"/>
              <w:rPr>
                <w:rFonts w:hint="eastAsia"/>
                <w:color w:val="auto"/>
                <w:highlight w:val="none"/>
              </w:rPr>
            </w:pPr>
            <w:r>
              <w:rPr>
                <w:color w:val="auto"/>
                <w:highlight w:val="none"/>
              </w:rPr>
              <w:t>容积率</w:t>
            </w:r>
          </w:p>
        </w:tc>
        <w:tc>
          <w:tcPr>
            <w:tcW w:w="2985" w:type="dxa"/>
            <w:vAlign w:val="center"/>
          </w:tcPr>
          <w:p w14:paraId="4B1CB939">
            <w:pPr>
              <w:pStyle w:val="44"/>
              <w:spacing w:line="360" w:lineRule="auto"/>
              <w:ind w:left="110" w:leftChars="50" w:right="110" w:rightChars="50"/>
              <w:jc w:val="center"/>
              <w:rPr>
                <w:rFonts w:hint="eastAsia"/>
                <w:color w:val="auto"/>
                <w:highlight w:val="none"/>
              </w:rPr>
            </w:pPr>
            <w:r>
              <w:rPr>
                <w:color w:val="auto"/>
                <w:highlight w:val="none"/>
              </w:rPr>
              <w:t>建筑高度</w:t>
            </w:r>
            <w:r>
              <w:rPr>
                <w:color w:val="auto"/>
                <w:sz w:val="21"/>
                <w:szCs w:val="21"/>
                <w:highlight w:val="none"/>
              </w:rPr>
              <w:t>（米）</w:t>
            </w:r>
          </w:p>
        </w:tc>
      </w:tr>
      <w:tr w14:paraId="385AB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Align w:val="center"/>
          </w:tcPr>
          <w:p w14:paraId="566A7128">
            <w:pPr>
              <w:pStyle w:val="44"/>
              <w:spacing w:line="360" w:lineRule="auto"/>
              <w:ind w:left="110" w:leftChars="50" w:right="110" w:rightChars="50"/>
              <w:jc w:val="center"/>
              <w:rPr>
                <w:rFonts w:hint="eastAsia"/>
                <w:color w:val="auto"/>
                <w:highlight w:val="none"/>
              </w:rPr>
            </w:pPr>
            <w:r>
              <w:rPr>
                <w:color w:val="auto"/>
                <w:highlight w:val="none"/>
              </w:rPr>
              <w:t>村民住房</w:t>
            </w:r>
          </w:p>
        </w:tc>
        <w:tc>
          <w:tcPr>
            <w:tcW w:w="3491" w:type="dxa"/>
            <w:gridSpan w:val="2"/>
            <w:vAlign w:val="center"/>
          </w:tcPr>
          <w:p w14:paraId="4C84013E">
            <w:pPr>
              <w:pStyle w:val="44"/>
              <w:spacing w:line="360" w:lineRule="auto"/>
              <w:ind w:left="110" w:leftChars="50" w:right="110" w:rightChars="50"/>
              <w:jc w:val="center"/>
              <w:rPr>
                <w:rFonts w:hint="eastAsia"/>
                <w:color w:val="auto"/>
                <w:highlight w:val="none"/>
              </w:rPr>
            </w:pPr>
            <w:r>
              <w:rPr>
                <w:color w:val="auto"/>
                <w:highlight w:val="none"/>
              </w:rPr>
              <w:t>农村宅基地</w:t>
            </w:r>
          </w:p>
        </w:tc>
        <w:tc>
          <w:tcPr>
            <w:tcW w:w="1529" w:type="dxa"/>
            <w:vAlign w:val="center"/>
          </w:tcPr>
          <w:p w14:paraId="7F308F12">
            <w:pPr>
              <w:pStyle w:val="44"/>
              <w:spacing w:line="360" w:lineRule="auto"/>
              <w:ind w:left="110" w:leftChars="50" w:right="110" w:rightChars="50"/>
              <w:jc w:val="center"/>
              <w:rPr>
                <w:rFonts w:hint="eastAsia"/>
                <w:color w:val="auto"/>
                <w:highlight w:val="none"/>
              </w:rPr>
            </w:pPr>
            <w:r>
              <w:rPr>
                <w:color w:val="auto"/>
                <w:highlight w:val="none"/>
              </w:rPr>
              <w:t>—</w:t>
            </w:r>
          </w:p>
        </w:tc>
        <w:tc>
          <w:tcPr>
            <w:tcW w:w="2985" w:type="dxa"/>
            <w:vAlign w:val="center"/>
          </w:tcPr>
          <w:p w14:paraId="2C2479F6">
            <w:pPr>
              <w:pStyle w:val="44"/>
              <w:spacing w:line="360" w:lineRule="auto"/>
              <w:ind w:left="110" w:leftChars="50" w:right="110" w:rightChars="50"/>
              <w:jc w:val="center"/>
              <w:rPr>
                <w:rFonts w:hint="default" w:eastAsia="仿宋"/>
                <w:color w:val="auto"/>
                <w:highlight w:val="none"/>
                <w:lang w:val="en-US" w:eastAsia="zh-CN"/>
              </w:rPr>
            </w:pPr>
            <w:r>
              <w:rPr>
                <w:color w:val="auto"/>
                <w:highlight w:val="none"/>
              </w:rPr>
              <w:t>≤1</w:t>
            </w:r>
            <w:r>
              <w:rPr>
                <w:rFonts w:hint="eastAsia"/>
                <w:color w:val="auto"/>
                <w:highlight w:val="none"/>
                <w:lang w:val="en-US" w:eastAsia="zh-CN"/>
              </w:rPr>
              <w:t>0.4（至屋面檐口）</w:t>
            </w:r>
          </w:p>
        </w:tc>
      </w:tr>
      <w:tr w14:paraId="4DE73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restart"/>
            <w:vAlign w:val="center"/>
          </w:tcPr>
          <w:p w14:paraId="0AE02830">
            <w:pPr>
              <w:pStyle w:val="44"/>
              <w:spacing w:line="360" w:lineRule="auto"/>
              <w:ind w:left="110" w:leftChars="50" w:right="110" w:rightChars="50"/>
              <w:jc w:val="center"/>
              <w:rPr>
                <w:rFonts w:hint="eastAsia"/>
                <w:color w:val="auto"/>
                <w:highlight w:val="none"/>
              </w:rPr>
            </w:pPr>
          </w:p>
          <w:p w14:paraId="54726DF6">
            <w:pPr>
              <w:pStyle w:val="44"/>
              <w:spacing w:line="360" w:lineRule="auto"/>
              <w:ind w:left="110" w:leftChars="50" w:right="110" w:rightChars="50"/>
              <w:jc w:val="center"/>
              <w:rPr>
                <w:rFonts w:hint="eastAsia"/>
                <w:color w:val="auto"/>
                <w:highlight w:val="none"/>
              </w:rPr>
            </w:pPr>
          </w:p>
          <w:p w14:paraId="44F15CDE">
            <w:pPr>
              <w:pStyle w:val="44"/>
              <w:spacing w:line="360" w:lineRule="auto"/>
              <w:ind w:left="110" w:leftChars="50" w:right="110" w:rightChars="50"/>
              <w:jc w:val="center"/>
              <w:rPr>
                <w:rFonts w:hint="eastAsia"/>
                <w:color w:val="auto"/>
                <w:highlight w:val="none"/>
              </w:rPr>
            </w:pPr>
          </w:p>
          <w:p w14:paraId="7A849D11">
            <w:pPr>
              <w:pStyle w:val="44"/>
              <w:spacing w:line="360" w:lineRule="auto"/>
              <w:ind w:left="110" w:leftChars="50" w:right="110" w:rightChars="50"/>
              <w:jc w:val="center"/>
              <w:rPr>
                <w:rFonts w:hint="eastAsia"/>
                <w:color w:val="auto"/>
                <w:highlight w:val="none"/>
              </w:rPr>
            </w:pPr>
          </w:p>
          <w:p w14:paraId="4C8A8F02">
            <w:pPr>
              <w:pStyle w:val="44"/>
              <w:spacing w:line="360" w:lineRule="auto"/>
              <w:ind w:left="110" w:leftChars="50" w:right="110" w:rightChars="50"/>
              <w:jc w:val="center"/>
              <w:rPr>
                <w:rFonts w:hint="eastAsia"/>
                <w:color w:val="auto"/>
                <w:highlight w:val="none"/>
              </w:rPr>
            </w:pPr>
            <w:r>
              <w:rPr>
                <w:color w:val="auto"/>
                <w:highlight w:val="none"/>
              </w:rPr>
              <w:t>乡村公共服务设施</w:t>
            </w:r>
          </w:p>
        </w:tc>
        <w:tc>
          <w:tcPr>
            <w:tcW w:w="3491" w:type="dxa"/>
            <w:gridSpan w:val="2"/>
            <w:vAlign w:val="center"/>
          </w:tcPr>
          <w:p w14:paraId="7A9D270D">
            <w:pPr>
              <w:pStyle w:val="44"/>
              <w:spacing w:line="360" w:lineRule="auto"/>
              <w:ind w:left="110" w:leftChars="50" w:right="110" w:rightChars="50"/>
              <w:jc w:val="center"/>
              <w:rPr>
                <w:rFonts w:hint="eastAsia"/>
                <w:color w:val="auto"/>
                <w:highlight w:val="none"/>
                <w:lang w:eastAsia="zh-CN"/>
              </w:rPr>
            </w:pPr>
            <w:r>
              <w:rPr>
                <w:color w:val="auto"/>
                <w:highlight w:val="none"/>
                <w:lang w:eastAsia="zh-CN"/>
              </w:rPr>
              <w:t>农村社区服务设施用地</w:t>
            </w:r>
          </w:p>
        </w:tc>
        <w:tc>
          <w:tcPr>
            <w:tcW w:w="1529" w:type="dxa"/>
            <w:vAlign w:val="center"/>
          </w:tcPr>
          <w:p w14:paraId="79F00A11">
            <w:pPr>
              <w:pStyle w:val="44"/>
              <w:spacing w:line="360" w:lineRule="auto"/>
              <w:ind w:left="110" w:leftChars="50" w:right="110" w:rightChars="50"/>
              <w:jc w:val="center"/>
              <w:rPr>
                <w:rFonts w:hint="eastAsia"/>
                <w:color w:val="auto"/>
                <w:highlight w:val="none"/>
              </w:rPr>
            </w:pPr>
            <w:r>
              <w:rPr>
                <w:color w:val="auto"/>
                <w:highlight w:val="none"/>
              </w:rPr>
              <w:t>≥0.8</w:t>
            </w:r>
          </w:p>
        </w:tc>
        <w:tc>
          <w:tcPr>
            <w:tcW w:w="2985" w:type="dxa"/>
            <w:vAlign w:val="center"/>
          </w:tcPr>
          <w:p w14:paraId="276927C0">
            <w:pPr>
              <w:spacing w:line="360" w:lineRule="auto"/>
              <w:ind w:left="110" w:leftChars="50" w:right="110" w:rightChars="50"/>
              <w:jc w:val="center"/>
              <w:rPr>
                <w:rFonts w:hint="eastAsia"/>
                <w:color w:val="auto"/>
                <w:highlight w:val="none"/>
              </w:rPr>
            </w:pPr>
            <w:r>
              <w:rPr>
                <w:color w:val="auto"/>
                <w:highlight w:val="none"/>
              </w:rPr>
              <w:t>≤24</w:t>
            </w:r>
          </w:p>
        </w:tc>
      </w:tr>
      <w:tr w14:paraId="7D39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Merge w:val="continue"/>
            <w:tcBorders>
              <w:top w:val="nil"/>
            </w:tcBorders>
            <w:vAlign w:val="center"/>
          </w:tcPr>
          <w:p w14:paraId="396A7226">
            <w:pPr>
              <w:spacing w:line="360" w:lineRule="auto"/>
              <w:ind w:left="110" w:leftChars="50" w:right="110" w:rightChars="50"/>
              <w:jc w:val="center"/>
              <w:rPr>
                <w:rFonts w:hint="eastAsia"/>
                <w:color w:val="auto"/>
                <w:highlight w:val="none"/>
              </w:rPr>
            </w:pPr>
          </w:p>
        </w:tc>
        <w:tc>
          <w:tcPr>
            <w:tcW w:w="3491" w:type="dxa"/>
            <w:gridSpan w:val="2"/>
            <w:vAlign w:val="center"/>
          </w:tcPr>
          <w:p w14:paraId="43A9F8A4">
            <w:pPr>
              <w:pStyle w:val="44"/>
              <w:spacing w:line="360" w:lineRule="auto"/>
              <w:ind w:left="110" w:leftChars="50" w:right="110" w:rightChars="50"/>
              <w:jc w:val="center"/>
              <w:rPr>
                <w:rFonts w:hint="eastAsia"/>
                <w:color w:val="auto"/>
                <w:highlight w:val="none"/>
              </w:rPr>
            </w:pPr>
            <w:r>
              <w:rPr>
                <w:color w:val="auto"/>
                <w:highlight w:val="none"/>
              </w:rPr>
              <w:t>机关团体用地</w:t>
            </w:r>
          </w:p>
        </w:tc>
        <w:tc>
          <w:tcPr>
            <w:tcW w:w="1529" w:type="dxa"/>
            <w:vAlign w:val="center"/>
          </w:tcPr>
          <w:p w14:paraId="6AB48770">
            <w:pPr>
              <w:pStyle w:val="44"/>
              <w:spacing w:line="360" w:lineRule="auto"/>
              <w:ind w:left="110" w:leftChars="50" w:right="110" w:rightChars="50"/>
              <w:jc w:val="center"/>
              <w:rPr>
                <w:rFonts w:hint="eastAsia"/>
                <w:color w:val="auto"/>
                <w:highlight w:val="none"/>
              </w:rPr>
            </w:pPr>
            <w:r>
              <w:rPr>
                <w:color w:val="auto"/>
                <w:highlight w:val="none"/>
              </w:rPr>
              <w:t>0.8-1.5</w:t>
            </w:r>
          </w:p>
        </w:tc>
        <w:tc>
          <w:tcPr>
            <w:tcW w:w="2985" w:type="dxa"/>
            <w:vAlign w:val="center"/>
          </w:tcPr>
          <w:p w14:paraId="275377EF">
            <w:pPr>
              <w:spacing w:line="360" w:lineRule="auto"/>
              <w:ind w:left="110" w:leftChars="50" w:right="110" w:rightChars="50"/>
              <w:jc w:val="center"/>
              <w:rPr>
                <w:rFonts w:hint="eastAsia"/>
                <w:color w:val="auto"/>
                <w:highlight w:val="none"/>
              </w:rPr>
            </w:pPr>
            <w:r>
              <w:rPr>
                <w:color w:val="auto"/>
                <w:highlight w:val="none"/>
              </w:rPr>
              <w:t>≤24</w:t>
            </w:r>
          </w:p>
        </w:tc>
      </w:tr>
      <w:tr w14:paraId="034CF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continue"/>
            <w:tcBorders>
              <w:top w:val="nil"/>
            </w:tcBorders>
            <w:vAlign w:val="center"/>
          </w:tcPr>
          <w:p w14:paraId="34F91B8A">
            <w:pPr>
              <w:spacing w:line="360" w:lineRule="auto"/>
              <w:ind w:left="110" w:leftChars="50" w:right="110" w:rightChars="50"/>
              <w:jc w:val="center"/>
              <w:rPr>
                <w:rFonts w:hint="eastAsia"/>
                <w:color w:val="auto"/>
                <w:highlight w:val="none"/>
              </w:rPr>
            </w:pPr>
          </w:p>
        </w:tc>
        <w:tc>
          <w:tcPr>
            <w:tcW w:w="3491" w:type="dxa"/>
            <w:gridSpan w:val="2"/>
            <w:vAlign w:val="center"/>
          </w:tcPr>
          <w:p w14:paraId="53A243F0">
            <w:pPr>
              <w:pStyle w:val="44"/>
              <w:spacing w:line="360" w:lineRule="auto"/>
              <w:ind w:left="110" w:leftChars="50" w:right="110" w:rightChars="50"/>
              <w:jc w:val="center"/>
              <w:rPr>
                <w:rFonts w:hint="eastAsia"/>
                <w:color w:val="auto"/>
                <w:highlight w:val="none"/>
              </w:rPr>
            </w:pPr>
            <w:r>
              <w:rPr>
                <w:color w:val="auto"/>
                <w:highlight w:val="none"/>
              </w:rPr>
              <w:t>科研用地</w:t>
            </w:r>
          </w:p>
        </w:tc>
        <w:tc>
          <w:tcPr>
            <w:tcW w:w="1529" w:type="dxa"/>
            <w:vAlign w:val="center"/>
          </w:tcPr>
          <w:p w14:paraId="131540FB">
            <w:pPr>
              <w:pStyle w:val="44"/>
              <w:spacing w:line="360" w:lineRule="auto"/>
              <w:ind w:left="110" w:leftChars="50" w:right="110" w:rightChars="50"/>
              <w:jc w:val="center"/>
              <w:rPr>
                <w:rFonts w:hint="eastAsia"/>
                <w:color w:val="auto"/>
                <w:highlight w:val="none"/>
              </w:rPr>
            </w:pPr>
            <w:r>
              <w:rPr>
                <w:color w:val="auto"/>
                <w:highlight w:val="none"/>
              </w:rPr>
              <w:t>0.8-1.5</w:t>
            </w:r>
          </w:p>
        </w:tc>
        <w:tc>
          <w:tcPr>
            <w:tcW w:w="2985" w:type="dxa"/>
            <w:vAlign w:val="center"/>
          </w:tcPr>
          <w:p w14:paraId="61CEE2F6">
            <w:pPr>
              <w:spacing w:line="360" w:lineRule="auto"/>
              <w:ind w:left="110" w:leftChars="50" w:right="110" w:rightChars="50"/>
              <w:jc w:val="center"/>
              <w:rPr>
                <w:rFonts w:hint="eastAsia"/>
                <w:color w:val="auto"/>
                <w:highlight w:val="none"/>
              </w:rPr>
            </w:pPr>
            <w:r>
              <w:rPr>
                <w:color w:val="auto"/>
                <w:highlight w:val="none"/>
              </w:rPr>
              <w:t>≤24</w:t>
            </w:r>
          </w:p>
        </w:tc>
      </w:tr>
      <w:tr w14:paraId="5EF7F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Merge w:val="continue"/>
            <w:tcBorders>
              <w:top w:val="nil"/>
            </w:tcBorders>
            <w:vAlign w:val="center"/>
          </w:tcPr>
          <w:p w14:paraId="3A1E2F55">
            <w:pPr>
              <w:spacing w:line="360" w:lineRule="auto"/>
              <w:ind w:left="110" w:leftChars="50" w:right="110" w:rightChars="50"/>
              <w:jc w:val="center"/>
              <w:rPr>
                <w:rFonts w:hint="eastAsia"/>
                <w:color w:val="auto"/>
                <w:highlight w:val="none"/>
              </w:rPr>
            </w:pPr>
          </w:p>
        </w:tc>
        <w:tc>
          <w:tcPr>
            <w:tcW w:w="3491" w:type="dxa"/>
            <w:gridSpan w:val="2"/>
            <w:vAlign w:val="center"/>
          </w:tcPr>
          <w:p w14:paraId="330A945E">
            <w:pPr>
              <w:pStyle w:val="44"/>
              <w:spacing w:line="360" w:lineRule="auto"/>
              <w:ind w:left="110" w:leftChars="50" w:right="110" w:rightChars="50"/>
              <w:jc w:val="center"/>
              <w:rPr>
                <w:rFonts w:hint="eastAsia"/>
                <w:color w:val="auto"/>
                <w:highlight w:val="none"/>
              </w:rPr>
            </w:pPr>
            <w:r>
              <w:rPr>
                <w:color w:val="auto"/>
                <w:highlight w:val="none"/>
              </w:rPr>
              <w:t>文化用地</w:t>
            </w:r>
          </w:p>
        </w:tc>
        <w:tc>
          <w:tcPr>
            <w:tcW w:w="1529" w:type="dxa"/>
            <w:vAlign w:val="center"/>
          </w:tcPr>
          <w:p w14:paraId="37EAA561">
            <w:pPr>
              <w:pStyle w:val="44"/>
              <w:spacing w:line="360" w:lineRule="auto"/>
              <w:ind w:left="110" w:leftChars="50" w:right="110" w:rightChars="50"/>
              <w:jc w:val="center"/>
              <w:rPr>
                <w:rFonts w:hint="eastAsia"/>
                <w:color w:val="auto"/>
                <w:highlight w:val="none"/>
              </w:rPr>
            </w:pPr>
            <w:r>
              <w:rPr>
                <w:color w:val="auto"/>
                <w:highlight w:val="none"/>
              </w:rPr>
              <w:t>0.8-1.5</w:t>
            </w:r>
          </w:p>
        </w:tc>
        <w:tc>
          <w:tcPr>
            <w:tcW w:w="2985" w:type="dxa"/>
            <w:vAlign w:val="center"/>
          </w:tcPr>
          <w:p w14:paraId="3F1DFED7">
            <w:pPr>
              <w:spacing w:line="360" w:lineRule="auto"/>
              <w:ind w:left="110" w:leftChars="50" w:right="110" w:rightChars="50"/>
              <w:jc w:val="center"/>
              <w:rPr>
                <w:rFonts w:hint="eastAsia"/>
                <w:color w:val="auto"/>
                <w:highlight w:val="none"/>
              </w:rPr>
            </w:pPr>
            <w:r>
              <w:rPr>
                <w:color w:val="auto"/>
                <w:highlight w:val="none"/>
              </w:rPr>
              <w:t>≤24</w:t>
            </w:r>
          </w:p>
        </w:tc>
      </w:tr>
      <w:tr w14:paraId="35DED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continue"/>
            <w:tcBorders>
              <w:top w:val="nil"/>
            </w:tcBorders>
            <w:vAlign w:val="center"/>
          </w:tcPr>
          <w:p w14:paraId="6AE36B78">
            <w:pPr>
              <w:spacing w:line="360" w:lineRule="auto"/>
              <w:ind w:left="110" w:leftChars="50" w:right="110" w:rightChars="50"/>
              <w:jc w:val="center"/>
              <w:rPr>
                <w:rFonts w:hint="eastAsia"/>
                <w:color w:val="auto"/>
                <w:highlight w:val="none"/>
              </w:rPr>
            </w:pPr>
          </w:p>
        </w:tc>
        <w:tc>
          <w:tcPr>
            <w:tcW w:w="1419" w:type="dxa"/>
            <w:vMerge w:val="restart"/>
            <w:vAlign w:val="center"/>
          </w:tcPr>
          <w:p w14:paraId="319ECDD6">
            <w:pPr>
              <w:pStyle w:val="44"/>
              <w:spacing w:line="360" w:lineRule="auto"/>
              <w:ind w:left="110" w:leftChars="50" w:right="110" w:rightChars="50"/>
              <w:jc w:val="center"/>
              <w:rPr>
                <w:rFonts w:hint="eastAsia"/>
                <w:color w:val="auto"/>
                <w:highlight w:val="none"/>
              </w:rPr>
            </w:pPr>
            <w:r>
              <w:rPr>
                <w:color w:val="auto"/>
                <w:highlight w:val="none"/>
              </w:rPr>
              <w:t>教育用地</w:t>
            </w:r>
          </w:p>
        </w:tc>
        <w:tc>
          <w:tcPr>
            <w:tcW w:w="2072" w:type="dxa"/>
            <w:vAlign w:val="center"/>
          </w:tcPr>
          <w:p w14:paraId="344B4C4E">
            <w:pPr>
              <w:pStyle w:val="44"/>
              <w:spacing w:line="360" w:lineRule="auto"/>
              <w:ind w:left="110" w:leftChars="50" w:right="110" w:rightChars="50"/>
              <w:jc w:val="center"/>
              <w:rPr>
                <w:rFonts w:hint="eastAsia"/>
                <w:color w:val="auto"/>
                <w:highlight w:val="none"/>
              </w:rPr>
            </w:pPr>
            <w:r>
              <w:rPr>
                <w:color w:val="auto"/>
                <w:highlight w:val="none"/>
              </w:rPr>
              <w:t>幼儿园用地</w:t>
            </w:r>
          </w:p>
        </w:tc>
        <w:tc>
          <w:tcPr>
            <w:tcW w:w="1529" w:type="dxa"/>
            <w:vAlign w:val="center"/>
          </w:tcPr>
          <w:p w14:paraId="47BB23B4">
            <w:pPr>
              <w:spacing w:line="360" w:lineRule="auto"/>
              <w:ind w:left="110" w:leftChars="50" w:right="110" w:rightChars="50"/>
              <w:jc w:val="center"/>
              <w:rPr>
                <w:rFonts w:hint="eastAsia"/>
                <w:color w:val="auto"/>
                <w:highlight w:val="none"/>
              </w:rPr>
            </w:pPr>
            <w:r>
              <w:rPr>
                <w:color w:val="auto"/>
                <w:highlight w:val="none"/>
              </w:rPr>
              <w:t>≤24</w:t>
            </w:r>
          </w:p>
        </w:tc>
        <w:tc>
          <w:tcPr>
            <w:tcW w:w="2985" w:type="dxa"/>
            <w:vAlign w:val="center"/>
          </w:tcPr>
          <w:p w14:paraId="787418D0">
            <w:pPr>
              <w:spacing w:line="360" w:lineRule="auto"/>
              <w:ind w:left="110" w:leftChars="50" w:right="110" w:rightChars="50"/>
              <w:jc w:val="center"/>
              <w:rPr>
                <w:rFonts w:hint="eastAsia"/>
                <w:color w:val="auto"/>
                <w:highlight w:val="none"/>
              </w:rPr>
            </w:pPr>
            <w:r>
              <w:rPr>
                <w:color w:val="auto"/>
                <w:highlight w:val="none"/>
              </w:rPr>
              <w:t>≤24</w:t>
            </w:r>
          </w:p>
        </w:tc>
      </w:tr>
      <w:tr w14:paraId="251B3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Merge w:val="continue"/>
            <w:tcBorders>
              <w:top w:val="nil"/>
            </w:tcBorders>
            <w:vAlign w:val="center"/>
          </w:tcPr>
          <w:p w14:paraId="401198A0">
            <w:pPr>
              <w:spacing w:line="360" w:lineRule="auto"/>
              <w:ind w:left="110" w:leftChars="50" w:right="110" w:rightChars="50"/>
              <w:jc w:val="center"/>
              <w:rPr>
                <w:rFonts w:hint="eastAsia"/>
                <w:color w:val="auto"/>
                <w:highlight w:val="none"/>
              </w:rPr>
            </w:pPr>
          </w:p>
        </w:tc>
        <w:tc>
          <w:tcPr>
            <w:tcW w:w="1419" w:type="dxa"/>
            <w:vMerge w:val="continue"/>
            <w:tcBorders>
              <w:top w:val="nil"/>
            </w:tcBorders>
            <w:vAlign w:val="center"/>
          </w:tcPr>
          <w:p w14:paraId="7E18F76E">
            <w:pPr>
              <w:spacing w:line="360" w:lineRule="auto"/>
              <w:ind w:left="110" w:leftChars="50" w:right="110" w:rightChars="50"/>
              <w:jc w:val="center"/>
              <w:rPr>
                <w:rFonts w:hint="eastAsia"/>
                <w:color w:val="auto"/>
                <w:highlight w:val="none"/>
              </w:rPr>
            </w:pPr>
          </w:p>
        </w:tc>
        <w:tc>
          <w:tcPr>
            <w:tcW w:w="2072" w:type="dxa"/>
            <w:vAlign w:val="center"/>
          </w:tcPr>
          <w:p w14:paraId="1ED937D7">
            <w:pPr>
              <w:pStyle w:val="44"/>
              <w:spacing w:line="360" w:lineRule="auto"/>
              <w:ind w:left="110" w:leftChars="50" w:right="110" w:rightChars="50"/>
              <w:jc w:val="center"/>
              <w:rPr>
                <w:rFonts w:hint="eastAsia"/>
                <w:color w:val="auto"/>
                <w:highlight w:val="none"/>
              </w:rPr>
            </w:pPr>
            <w:r>
              <w:rPr>
                <w:color w:val="auto"/>
                <w:highlight w:val="none"/>
              </w:rPr>
              <w:t>中小学用地</w:t>
            </w:r>
          </w:p>
        </w:tc>
        <w:tc>
          <w:tcPr>
            <w:tcW w:w="1529" w:type="dxa"/>
            <w:vAlign w:val="center"/>
          </w:tcPr>
          <w:p w14:paraId="0E3FF6C5">
            <w:pPr>
              <w:spacing w:line="360" w:lineRule="auto"/>
              <w:ind w:left="110" w:leftChars="50" w:right="110" w:rightChars="50"/>
              <w:jc w:val="center"/>
              <w:rPr>
                <w:rFonts w:hint="eastAsia"/>
                <w:color w:val="auto"/>
                <w:highlight w:val="none"/>
              </w:rPr>
            </w:pPr>
            <w:r>
              <w:rPr>
                <w:color w:val="auto"/>
                <w:highlight w:val="none"/>
              </w:rPr>
              <w:t>≤24</w:t>
            </w:r>
          </w:p>
        </w:tc>
        <w:tc>
          <w:tcPr>
            <w:tcW w:w="2985" w:type="dxa"/>
            <w:vAlign w:val="center"/>
          </w:tcPr>
          <w:p w14:paraId="30D0F13F">
            <w:pPr>
              <w:spacing w:line="360" w:lineRule="auto"/>
              <w:ind w:left="110" w:leftChars="50" w:right="110" w:rightChars="50"/>
              <w:jc w:val="center"/>
              <w:rPr>
                <w:rFonts w:hint="eastAsia"/>
                <w:color w:val="auto"/>
                <w:highlight w:val="none"/>
              </w:rPr>
            </w:pPr>
            <w:r>
              <w:rPr>
                <w:color w:val="auto"/>
                <w:highlight w:val="none"/>
              </w:rPr>
              <w:t>≤24</w:t>
            </w:r>
          </w:p>
        </w:tc>
      </w:tr>
      <w:tr w14:paraId="5AF7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continue"/>
            <w:tcBorders>
              <w:top w:val="nil"/>
            </w:tcBorders>
            <w:vAlign w:val="center"/>
          </w:tcPr>
          <w:p w14:paraId="20684CBD">
            <w:pPr>
              <w:spacing w:line="360" w:lineRule="auto"/>
              <w:ind w:left="110" w:leftChars="50" w:right="110" w:rightChars="50"/>
              <w:jc w:val="center"/>
              <w:rPr>
                <w:rFonts w:hint="eastAsia"/>
                <w:color w:val="auto"/>
                <w:highlight w:val="none"/>
              </w:rPr>
            </w:pPr>
          </w:p>
        </w:tc>
        <w:tc>
          <w:tcPr>
            <w:tcW w:w="3491" w:type="dxa"/>
            <w:gridSpan w:val="2"/>
            <w:vAlign w:val="center"/>
          </w:tcPr>
          <w:p w14:paraId="5C54BE28">
            <w:pPr>
              <w:pStyle w:val="44"/>
              <w:spacing w:line="360" w:lineRule="auto"/>
              <w:ind w:left="110" w:leftChars="50" w:right="110" w:rightChars="50"/>
              <w:jc w:val="center"/>
              <w:rPr>
                <w:rFonts w:hint="eastAsia"/>
                <w:color w:val="auto"/>
                <w:highlight w:val="none"/>
              </w:rPr>
            </w:pPr>
            <w:r>
              <w:rPr>
                <w:color w:val="auto"/>
                <w:highlight w:val="none"/>
              </w:rPr>
              <w:t>体育用地</w:t>
            </w:r>
          </w:p>
        </w:tc>
        <w:tc>
          <w:tcPr>
            <w:tcW w:w="1529" w:type="dxa"/>
            <w:vAlign w:val="center"/>
          </w:tcPr>
          <w:p w14:paraId="3A0FFA05">
            <w:pPr>
              <w:pStyle w:val="44"/>
              <w:spacing w:line="360" w:lineRule="auto"/>
              <w:ind w:left="110" w:leftChars="50" w:right="110" w:rightChars="50"/>
              <w:jc w:val="center"/>
              <w:rPr>
                <w:rFonts w:hint="eastAsia"/>
                <w:color w:val="auto"/>
                <w:highlight w:val="none"/>
              </w:rPr>
            </w:pPr>
            <w:r>
              <w:rPr>
                <w:color w:val="auto"/>
                <w:highlight w:val="none"/>
              </w:rPr>
              <w:t>0.6-1.0</w:t>
            </w:r>
          </w:p>
        </w:tc>
        <w:tc>
          <w:tcPr>
            <w:tcW w:w="2985" w:type="dxa"/>
            <w:vAlign w:val="center"/>
          </w:tcPr>
          <w:p w14:paraId="5AD5EA1E">
            <w:pPr>
              <w:spacing w:line="360" w:lineRule="auto"/>
              <w:ind w:left="110" w:leftChars="50" w:right="110" w:rightChars="50"/>
              <w:jc w:val="center"/>
              <w:rPr>
                <w:rFonts w:hint="eastAsia"/>
                <w:color w:val="auto"/>
                <w:highlight w:val="none"/>
              </w:rPr>
            </w:pPr>
            <w:r>
              <w:rPr>
                <w:color w:val="auto"/>
                <w:highlight w:val="none"/>
              </w:rPr>
              <w:t>≤24</w:t>
            </w:r>
          </w:p>
        </w:tc>
      </w:tr>
      <w:tr w14:paraId="66CD8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Merge w:val="continue"/>
            <w:tcBorders>
              <w:top w:val="nil"/>
            </w:tcBorders>
            <w:vAlign w:val="center"/>
          </w:tcPr>
          <w:p w14:paraId="6453076E">
            <w:pPr>
              <w:spacing w:line="360" w:lineRule="auto"/>
              <w:ind w:left="110" w:leftChars="50" w:right="110" w:rightChars="50"/>
              <w:jc w:val="center"/>
              <w:rPr>
                <w:rFonts w:hint="eastAsia"/>
                <w:color w:val="auto"/>
                <w:highlight w:val="none"/>
              </w:rPr>
            </w:pPr>
          </w:p>
        </w:tc>
        <w:tc>
          <w:tcPr>
            <w:tcW w:w="3491" w:type="dxa"/>
            <w:gridSpan w:val="2"/>
            <w:vAlign w:val="center"/>
          </w:tcPr>
          <w:p w14:paraId="6050E884">
            <w:pPr>
              <w:pStyle w:val="44"/>
              <w:spacing w:line="360" w:lineRule="auto"/>
              <w:ind w:left="110" w:leftChars="50" w:right="110" w:rightChars="50"/>
              <w:jc w:val="center"/>
              <w:rPr>
                <w:rFonts w:hint="eastAsia"/>
                <w:color w:val="auto"/>
                <w:highlight w:val="none"/>
              </w:rPr>
            </w:pPr>
            <w:r>
              <w:rPr>
                <w:color w:val="auto"/>
                <w:highlight w:val="none"/>
              </w:rPr>
              <w:t>医疗卫生用地</w:t>
            </w:r>
          </w:p>
        </w:tc>
        <w:tc>
          <w:tcPr>
            <w:tcW w:w="1529" w:type="dxa"/>
            <w:vAlign w:val="center"/>
          </w:tcPr>
          <w:p w14:paraId="1AF4FCD4">
            <w:pPr>
              <w:pStyle w:val="44"/>
              <w:spacing w:line="360" w:lineRule="auto"/>
              <w:ind w:left="110" w:leftChars="50" w:right="110" w:rightChars="50"/>
              <w:jc w:val="center"/>
              <w:rPr>
                <w:rFonts w:hint="eastAsia"/>
                <w:color w:val="auto"/>
                <w:highlight w:val="none"/>
              </w:rPr>
            </w:pPr>
            <w:r>
              <w:rPr>
                <w:color w:val="auto"/>
                <w:highlight w:val="none"/>
              </w:rPr>
              <w:t>0.7-1.2</w:t>
            </w:r>
          </w:p>
        </w:tc>
        <w:tc>
          <w:tcPr>
            <w:tcW w:w="2985" w:type="dxa"/>
            <w:vAlign w:val="center"/>
          </w:tcPr>
          <w:p w14:paraId="200D0C7E">
            <w:pPr>
              <w:spacing w:line="360" w:lineRule="auto"/>
              <w:ind w:left="110" w:leftChars="50" w:right="110" w:rightChars="50"/>
              <w:jc w:val="center"/>
              <w:rPr>
                <w:rFonts w:hint="eastAsia"/>
                <w:color w:val="auto"/>
                <w:highlight w:val="none"/>
              </w:rPr>
            </w:pPr>
            <w:r>
              <w:rPr>
                <w:color w:val="auto"/>
                <w:highlight w:val="none"/>
              </w:rPr>
              <w:t>≤24</w:t>
            </w:r>
          </w:p>
        </w:tc>
      </w:tr>
      <w:tr w14:paraId="5F3B0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continue"/>
            <w:tcBorders>
              <w:top w:val="nil"/>
            </w:tcBorders>
            <w:vAlign w:val="center"/>
          </w:tcPr>
          <w:p w14:paraId="7639DC2C">
            <w:pPr>
              <w:spacing w:line="360" w:lineRule="auto"/>
              <w:ind w:left="110" w:leftChars="50" w:right="110" w:rightChars="50"/>
              <w:jc w:val="center"/>
              <w:rPr>
                <w:rFonts w:hint="eastAsia"/>
                <w:color w:val="auto"/>
                <w:highlight w:val="none"/>
              </w:rPr>
            </w:pPr>
          </w:p>
        </w:tc>
        <w:tc>
          <w:tcPr>
            <w:tcW w:w="3491" w:type="dxa"/>
            <w:gridSpan w:val="2"/>
            <w:vAlign w:val="center"/>
          </w:tcPr>
          <w:p w14:paraId="24C0744E">
            <w:pPr>
              <w:pStyle w:val="44"/>
              <w:spacing w:line="360" w:lineRule="auto"/>
              <w:ind w:left="110" w:leftChars="50" w:right="110" w:rightChars="50"/>
              <w:jc w:val="center"/>
              <w:rPr>
                <w:rFonts w:hint="eastAsia"/>
                <w:color w:val="auto"/>
                <w:highlight w:val="none"/>
              </w:rPr>
            </w:pPr>
            <w:r>
              <w:rPr>
                <w:color w:val="auto"/>
                <w:highlight w:val="none"/>
              </w:rPr>
              <w:t>社会福利用地</w:t>
            </w:r>
          </w:p>
        </w:tc>
        <w:tc>
          <w:tcPr>
            <w:tcW w:w="1529" w:type="dxa"/>
            <w:vAlign w:val="center"/>
          </w:tcPr>
          <w:p w14:paraId="063A929B">
            <w:pPr>
              <w:pStyle w:val="44"/>
              <w:spacing w:line="360" w:lineRule="auto"/>
              <w:ind w:left="110" w:leftChars="50" w:right="110" w:rightChars="50"/>
              <w:jc w:val="center"/>
              <w:rPr>
                <w:rFonts w:hint="eastAsia"/>
                <w:color w:val="auto"/>
                <w:highlight w:val="none"/>
              </w:rPr>
            </w:pPr>
            <w:r>
              <w:rPr>
                <w:color w:val="auto"/>
                <w:highlight w:val="none"/>
              </w:rPr>
              <w:t>0.5-1.0</w:t>
            </w:r>
          </w:p>
        </w:tc>
        <w:tc>
          <w:tcPr>
            <w:tcW w:w="2985" w:type="dxa"/>
            <w:vAlign w:val="center"/>
          </w:tcPr>
          <w:p w14:paraId="5BD94F71">
            <w:pPr>
              <w:spacing w:line="360" w:lineRule="auto"/>
              <w:ind w:left="110" w:leftChars="50" w:right="110" w:rightChars="50"/>
              <w:jc w:val="center"/>
              <w:rPr>
                <w:rFonts w:hint="eastAsia"/>
                <w:color w:val="auto"/>
                <w:highlight w:val="none"/>
              </w:rPr>
            </w:pPr>
            <w:r>
              <w:rPr>
                <w:color w:val="auto"/>
                <w:highlight w:val="none"/>
              </w:rPr>
              <w:t>≤24</w:t>
            </w:r>
          </w:p>
        </w:tc>
      </w:tr>
      <w:tr w14:paraId="276A7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Align w:val="center"/>
          </w:tcPr>
          <w:p w14:paraId="762E1317">
            <w:pPr>
              <w:pStyle w:val="44"/>
              <w:spacing w:line="360" w:lineRule="auto"/>
              <w:ind w:left="110" w:leftChars="50" w:right="110" w:rightChars="50"/>
              <w:jc w:val="center"/>
              <w:rPr>
                <w:rFonts w:hint="eastAsia"/>
                <w:color w:val="auto"/>
                <w:highlight w:val="none"/>
              </w:rPr>
            </w:pPr>
            <w:r>
              <w:rPr>
                <w:color w:val="auto"/>
                <w:highlight w:val="none"/>
              </w:rPr>
              <w:t>市政公用设施</w:t>
            </w:r>
          </w:p>
        </w:tc>
        <w:tc>
          <w:tcPr>
            <w:tcW w:w="3491" w:type="dxa"/>
            <w:gridSpan w:val="2"/>
            <w:vAlign w:val="center"/>
          </w:tcPr>
          <w:p w14:paraId="609F61CC">
            <w:pPr>
              <w:pStyle w:val="44"/>
              <w:spacing w:line="360" w:lineRule="auto"/>
              <w:ind w:left="110" w:leftChars="50" w:right="110" w:rightChars="50"/>
              <w:jc w:val="center"/>
              <w:rPr>
                <w:rFonts w:hint="eastAsia"/>
                <w:color w:val="auto"/>
                <w:highlight w:val="none"/>
              </w:rPr>
            </w:pPr>
            <w:r>
              <w:rPr>
                <w:color w:val="auto"/>
                <w:highlight w:val="none"/>
              </w:rPr>
              <w:t>公用设施用地</w:t>
            </w:r>
          </w:p>
        </w:tc>
        <w:tc>
          <w:tcPr>
            <w:tcW w:w="1529" w:type="dxa"/>
            <w:vAlign w:val="center"/>
          </w:tcPr>
          <w:p w14:paraId="5D77C678">
            <w:pPr>
              <w:pStyle w:val="44"/>
              <w:spacing w:line="360" w:lineRule="auto"/>
              <w:ind w:left="110" w:leftChars="50" w:right="110" w:rightChars="50"/>
              <w:jc w:val="center"/>
              <w:rPr>
                <w:rFonts w:hint="eastAsia"/>
                <w:color w:val="auto"/>
                <w:highlight w:val="none"/>
              </w:rPr>
            </w:pPr>
            <w:r>
              <w:rPr>
                <w:color w:val="auto"/>
                <w:highlight w:val="none"/>
              </w:rPr>
              <w:t>0.5-1.0</w:t>
            </w:r>
          </w:p>
        </w:tc>
        <w:tc>
          <w:tcPr>
            <w:tcW w:w="2985" w:type="dxa"/>
            <w:vAlign w:val="center"/>
          </w:tcPr>
          <w:p w14:paraId="152F9397">
            <w:pPr>
              <w:pStyle w:val="44"/>
              <w:spacing w:line="360" w:lineRule="auto"/>
              <w:ind w:left="110" w:leftChars="50" w:right="110" w:rightChars="50"/>
              <w:jc w:val="center"/>
              <w:rPr>
                <w:rFonts w:hint="eastAsia"/>
                <w:color w:val="auto"/>
                <w:highlight w:val="none"/>
              </w:rPr>
            </w:pPr>
            <w:r>
              <w:rPr>
                <w:color w:val="auto"/>
                <w:highlight w:val="none"/>
              </w:rPr>
              <w:t>≤18</w:t>
            </w:r>
          </w:p>
        </w:tc>
      </w:tr>
      <w:tr w14:paraId="6A34D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restart"/>
            <w:vAlign w:val="center"/>
          </w:tcPr>
          <w:p w14:paraId="3AC2CB1C">
            <w:pPr>
              <w:pStyle w:val="44"/>
              <w:spacing w:line="360" w:lineRule="auto"/>
              <w:ind w:left="110" w:leftChars="50" w:right="110" w:rightChars="50"/>
              <w:jc w:val="center"/>
              <w:rPr>
                <w:rFonts w:hint="eastAsia"/>
                <w:color w:val="auto"/>
                <w:highlight w:val="none"/>
              </w:rPr>
            </w:pPr>
          </w:p>
          <w:p w14:paraId="5DF6B4D5">
            <w:pPr>
              <w:pStyle w:val="44"/>
              <w:spacing w:line="360" w:lineRule="auto"/>
              <w:ind w:left="110" w:leftChars="50" w:right="110" w:rightChars="50"/>
              <w:jc w:val="center"/>
              <w:rPr>
                <w:rFonts w:hint="eastAsia"/>
                <w:color w:val="auto"/>
                <w:highlight w:val="none"/>
              </w:rPr>
            </w:pPr>
          </w:p>
          <w:p w14:paraId="5C842A0A">
            <w:pPr>
              <w:pStyle w:val="44"/>
              <w:spacing w:line="360" w:lineRule="auto"/>
              <w:ind w:left="110" w:leftChars="50" w:right="110" w:rightChars="50"/>
              <w:jc w:val="center"/>
              <w:rPr>
                <w:rFonts w:hint="eastAsia"/>
                <w:color w:val="auto"/>
                <w:highlight w:val="none"/>
              </w:rPr>
            </w:pPr>
            <w:r>
              <w:rPr>
                <w:color w:val="auto"/>
                <w:highlight w:val="none"/>
              </w:rPr>
              <w:t>乡村产业</w:t>
            </w:r>
          </w:p>
        </w:tc>
        <w:tc>
          <w:tcPr>
            <w:tcW w:w="3491" w:type="dxa"/>
            <w:gridSpan w:val="2"/>
            <w:vAlign w:val="center"/>
          </w:tcPr>
          <w:p w14:paraId="554DB998">
            <w:pPr>
              <w:pStyle w:val="44"/>
              <w:spacing w:line="360" w:lineRule="auto"/>
              <w:ind w:left="110" w:leftChars="50" w:right="110" w:rightChars="50"/>
              <w:jc w:val="center"/>
              <w:rPr>
                <w:rFonts w:hint="eastAsia"/>
                <w:color w:val="auto"/>
                <w:highlight w:val="none"/>
              </w:rPr>
            </w:pPr>
            <w:r>
              <w:rPr>
                <w:color w:val="auto"/>
                <w:highlight w:val="none"/>
              </w:rPr>
              <w:t>商业用地</w:t>
            </w:r>
          </w:p>
        </w:tc>
        <w:tc>
          <w:tcPr>
            <w:tcW w:w="1529" w:type="dxa"/>
            <w:vAlign w:val="center"/>
          </w:tcPr>
          <w:p w14:paraId="21D5CEA4">
            <w:pPr>
              <w:pStyle w:val="44"/>
              <w:spacing w:line="360" w:lineRule="auto"/>
              <w:ind w:left="110" w:leftChars="50" w:right="110" w:rightChars="50"/>
              <w:jc w:val="center"/>
              <w:rPr>
                <w:rFonts w:hint="eastAsia"/>
                <w:color w:val="auto"/>
                <w:highlight w:val="none"/>
              </w:rPr>
            </w:pPr>
            <w:r>
              <w:rPr>
                <w:color w:val="auto"/>
                <w:highlight w:val="none"/>
              </w:rPr>
              <w:t>0.7-1.2</w:t>
            </w:r>
          </w:p>
        </w:tc>
        <w:tc>
          <w:tcPr>
            <w:tcW w:w="2985" w:type="dxa"/>
            <w:vAlign w:val="center"/>
          </w:tcPr>
          <w:p w14:paraId="20B8BE7A">
            <w:pPr>
              <w:pStyle w:val="44"/>
              <w:spacing w:line="360" w:lineRule="auto"/>
              <w:ind w:left="110" w:leftChars="50" w:right="110" w:rightChars="50"/>
              <w:jc w:val="center"/>
              <w:rPr>
                <w:rFonts w:hint="eastAsia"/>
                <w:color w:val="auto"/>
                <w:highlight w:val="none"/>
              </w:rPr>
            </w:pPr>
            <w:r>
              <w:rPr>
                <w:color w:val="auto"/>
                <w:highlight w:val="none"/>
              </w:rPr>
              <w:t>≤18</w:t>
            </w:r>
          </w:p>
        </w:tc>
      </w:tr>
      <w:tr w14:paraId="4BA69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Merge w:val="continue"/>
            <w:tcBorders>
              <w:top w:val="nil"/>
            </w:tcBorders>
            <w:vAlign w:val="center"/>
          </w:tcPr>
          <w:p w14:paraId="072C4528">
            <w:pPr>
              <w:spacing w:line="360" w:lineRule="auto"/>
              <w:ind w:left="110" w:leftChars="50" w:right="110" w:rightChars="50"/>
              <w:jc w:val="center"/>
              <w:rPr>
                <w:rFonts w:hint="eastAsia"/>
                <w:color w:val="auto"/>
                <w:highlight w:val="none"/>
              </w:rPr>
            </w:pPr>
          </w:p>
        </w:tc>
        <w:tc>
          <w:tcPr>
            <w:tcW w:w="3491" w:type="dxa"/>
            <w:gridSpan w:val="2"/>
            <w:vAlign w:val="center"/>
          </w:tcPr>
          <w:p w14:paraId="4865D06B">
            <w:pPr>
              <w:pStyle w:val="44"/>
              <w:spacing w:line="360" w:lineRule="auto"/>
              <w:ind w:left="110" w:leftChars="50" w:right="110" w:rightChars="50"/>
              <w:jc w:val="center"/>
              <w:rPr>
                <w:rFonts w:hint="eastAsia"/>
                <w:color w:val="auto"/>
                <w:highlight w:val="none"/>
              </w:rPr>
            </w:pPr>
            <w:r>
              <w:rPr>
                <w:color w:val="auto"/>
                <w:highlight w:val="none"/>
              </w:rPr>
              <w:t>商务金融用地</w:t>
            </w:r>
          </w:p>
        </w:tc>
        <w:tc>
          <w:tcPr>
            <w:tcW w:w="1529" w:type="dxa"/>
            <w:vAlign w:val="center"/>
          </w:tcPr>
          <w:p w14:paraId="04F97E41">
            <w:pPr>
              <w:pStyle w:val="44"/>
              <w:spacing w:line="360" w:lineRule="auto"/>
              <w:ind w:left="110" w:leftChars="50" w:right="110" w:rightChars="50"/>
              <w:jc w:val="center"/>
              <w:rPr>
                <w:rFonts w:hint="eastAsia"/>
                <w:color w:val="auto"/>
                <w:highlight w:val="none"/>
              </w:rPr>
            </w:pPr>
            <w:r>
              <w:rPr>
                <w:color w:val="auto"/>
                <w:highlight w:val="none"/>
              </w:rPr>
              <w:t>1.0-1.5</w:t>
            </w:r>
          </w:p>
        </w:tc>
        <w:tc>
          <w:tcPr>
            <w:tcW w:w="2985" w:type="dxa"/>
            <w:vAlign w:val="center"/>
          </w:tcPr>
          <w:p w14:paraId="6185AEEF">
            <w:pPr>
              <w:pStyle w:val="44"/>
              <w:spacing w:line="360" w:lineRule="auto"/>
              <w:ind w:left="110" w:leftChars="50" w:right="110" w:rightChars="50"/>
              <w:jc w:val="center"/>
              <w:rPr>
                <w:rFonts w:hint="eastAsia"/>
                <w:color w:val="auto"/>
                <w:highlight w:val="none"/>
              </w:rPr>
            </w:pPr>
            <w:r>
              <w:rPr>
                <w:color w:val="auto"/>
                <w:highlight w:val="none"/>
              </w:rPr>
              <w:t>≤18</w:t>
            </w:r>
          </w:p>
        </w:tc>
      </w:tr>
      <w:tr w14:paraId="3C9FA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continue"/>
            <w:tcBorders>
              <w:top w:val="nil"/>
            </w:tcBorders>
            <w:vAlign w:val="center"/>
          </w:tcPr>
          <w:p w14:paraId="520778FB">
            <w:pPr>
              <w:spacing w:line="360" w:lineRule="auto"/>
              <w:ind w:left="110" w:leftChars="50" w:right="110" w:rightChars="50"/>
              <w:jc w:val="center"/>
              <w:rPr>
                <w:rFonts w:hint="eastAsia"/>
                <w:color w:val="auto"/>
                <w:highlight w:val="none"/>
              </w:rPr>
            </w:pPr>
          </w:p>
        </w:tc>
        <w:tc>
          <w:tcPr>
            <w:tcW w:w="3491" w:type="dxa"/>
            <w:gridSpan w:val="2"/>
            <w:vAlign w:val="center"/>
          </w:tcPr>
          <w:p w14:paraId="03B90403">
            <w:pPr>
              <w:pStyle w:val="44"/>
              <w:spacing w:line="360" w:lineRule="auto"/>
              <w:ind w:left="110" w:leftChars="50" w:right="110" w:rightChars="50"/>
              <w:jc w:val="center"/>
              <w:rPr>
                <w:rFonts w:hint="eastAsia"/>
                <w:color w:val="auto"/>
                <w:highlight w:val="none"/>
              </w:rPr>
            </w:pPr>
            <w:r>
              <w:rPr>
                <w:color w:val="auto"/>
                <w:highlight w:val="none"/>
              </w:rPr>
              <w:t>娱乐用地</w:t>
            </w:r>
          </w:p>
        </w:tc>
        <w:tc>
          <w:tcPr>
            <w:tcW w:w="1529" w:type="dxa"/>
            <w:vAlign w:val="center"/>
          </w:tcPr>
          <w:p w14:paraId="6BDB9DDC">
            <w:pPr>
              <w:pStyle w:val="44"/>
              <w:spacing w:line="360" w:lineRule="auto"/>
              <w:ind w:left="110" w:leftChars="50" w:right="110" w:rightChars="50"/>
              <w:jc w:val="center"/>
              <w:rPr>
                <w:rFonts w:hint="eastAsia"/>
                <w:color w:val="auto"/>
                <w:highlight w:val="none"/>
              </w:rPr>
            </w:pPr>
            <w:r>
              <w:rPr>
                <w:color w:val="auto"/>
                <w:highlight w:val="none"/>
              </w:rPr>
              <w:t>0.7-1.2</w:t>
            </w:r>
          </w:p>
        </w:tc>
        <w:tc>
          <w:tcPr>
            <w:tcW w:w="2985" w:type="dxa"/>
            <w:vAlign w:val="center"/>
          </w:tcPr>
          <w:p w14:paraId="41A72910">
            <w:pPr>
              <w:pStyle w:val="44"/>
              <w:spacing w:line="360" w:lineRule="auto"/>
              <w:ind w:left="110" w:leftChars="50" w:right="110" w:rightChars="50"/>
              <w:jc w:val="center"/>
              <w:rPr>
                <w:rFonts w:hint="eastAsia"/>
                <w:color w:val="auto"/>
                <w:highlight w:val="none"/>
              </w:rPr>
            </w:pPr>
            <w:r>
              <w:rPr>
                <w:color w:val="auto"/>
                <w:highlight w:val="none"/>
              </w:rPr>
              <w:t>≤18</w:t>
            </w:r>
          </w:p>
        </w:tc>
      </w:tr>
      <w:tr w14:paraId="13EFB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697" w:type="dxa"/>
            <w:vMerge w:val="continue"/>
            <w:tcBorders>
              <w:top w:val="nil"/>
            </w:tcBorders>
            <w:vAlign w:val="center"/>
          </w:tcPr>
          <w:p w14:paraId="54E6A988">
            <w:pPr>
              <w:spacing w:line="360" w:lineRule="auto"/>
              <w:ind w:left="110" w:leftChars="50" w:right="110" w:rightChars="50"/>
              <w:jc w:val="center"/>
              <w:rPr>
                <w:rFonts w:hint="eastAsia"/>
                <w:color w:val="auto"/>
                <w:highlight w:val="none"/>
              </w:rPr>
            </w:pPr>
          </w:p>
        </w:tc>
        <w:tc>
          <w:tcPr>
            <w:tcW w:w="3491" w:type="dxa"/>
            <w:gridSpan w:val="2"/>
            <w:vAlign w:val="center"/>
          </w:tcPr>
          <w:p w14:paraId="3002A5F1">
            <w:pPr>
              <w:pStyle w:val="44"/>
              <w:spacing w:line="360" w:lineRule="auto"/>
              <w:ind w:left="110" w:leftChars="50" w:right="110" w:rightChars="50"/>
              <w:jc w:val="center"/>
              <w:rPr>
                <w:rFonts w:hint="eastAsia"/>
                <w:color w:val="auto"/>
                <w:highlight w:val="none"/>
              </w:rPr>
            </w:pPr>
            <w:r>
              <w:rPr>
                <w:color w:val="auto"/>
                <w:highlight w:val="none"/>
              </w:rPr>
              <w:t>工业用地</w:t>
            </w:r>
          </w:p>
        </w:tc>
        <w:tc>
          <w:tcPr>
            <w:tcW w:w="1529" w:type="dxa"/>
            <w:vAlign w:val="center"/>
          </w:tcPr>
          <w:p w14:paraId="70A4D8BA">
            <w:pPr>
              <w:pStyle w:val="44"/>
              <w:spacing w:line="360" w:lineRule="auto"/>
              <w:ind w:left="110" w:leftChars="50" w:right="110" w:rightChars="50"/>
              <w:jc w:val="center"/>
              <w:rPr>
                <w:rFonts w:hint="eastAsia" w:eastAsia="仿宋"/>
                <w:color w:val="auto"/>
                <w:highlight w:val="none"/>
                <w:lang w:eastAsia="zh-CN"/>
              </w:rPr>
            </w:pPr>
            <w:r>
              <w:rPr>
                <w:color w:val="auto"/>
                <w:highlight w:val="none"/>
              </w:rPr>
              <w:t>0.6-</w:t>
            </w:r>
            <w:r>
              <w:rPr>
                <w:rFonts w:hint="eastAsia"/>
                <w:color w:val="auto"/>
                <w:highlight w:val="none"/>
                <w:lang w:val="en-US" w:eastAsia="zh-CN"/>
              </w:rPr>
              <w:t>2</w:t>
            </w:r>
            <w:r>
              <w:rPr>
                <w:color w:val="auto"/>
                <w:highlight w:val="none"/>
              </w:rPr>
              <w:t>.</w:t>
            </w:r>
            <w:r>
              <w:rPr>
                <w:rFonts w:hint="eastAsia"/>
                <w:color w:val="auto"/>
                <w:highlight w:val="none"/>
                <w:lang w:val="en-US" w:eastAsia="zh-CN"/>
              </w:rPr>
              <w:t>0</w:t>
            </w:r>
          </w:p>
        </w:tc>
        <w:tc>
          <w:tcPr>
            <w:tcW w:w="2985" w:type="dxa"/>
            <w:vAlign w:val="center"/>
          </w:tcPr>
          <w:p w14:paraId="56006451">
            <w:pPr>
              <w:pStyle w:val="44"/>
              <w:spacing w:line="360" w:lineRule="auto"/>
              <w:ind w:left="110" w:leftChars="50" w:right="110" w:rightChars="50"/>
              <w:jc w:val="center"/>
              <w:rPr>
                <w:rFonts w:hint="eastAsia"/>
                <w:color w:val="auto"/>
                <w:highlight w:val="none"/>
              </w:rPr>
            </w:pPr>
            <w:r>
              <w:rPr>
                <w:color w:val="auto"/>
                <w:highlight w:val="none"/>
              </w:rPr>
              <w:t>≤24</w:t>
            </w:r>
          </w:p>
        </w:tc>
      </w:tr>
      <w:tr w14:paraId="1C285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697" w:type="dxa"/>
            <w:vMerge w:val="continue"/>
            <w:tcBorders>
              <w:top w:val="nil"/>
            </w:tcBorders>
            <w:vAlign w:val="center"/>
          </w:tcPr>
          <w:p w14:paraId="6EBEA43A">
            <w:pPr>
              <w:spacing w:line="360" w:lineRule="auto"/>
              <w:ind w:left="110" w:leftChars="50" w:right="110" w:rightChars="50"/>
              <w:jc w:val="center"/>
              <w:rPr>
                <w:rFonts w:hint="eastAsia"/>
                <w:color w:val="auto"/>
                <w:highlight w:val="none"/>
              </w:rPr>
            </w:pPr>
          </w:p>
        </w:tc>
        <w:tc>
          <w:tcPr>
            <w:tcW w:w="3491" w:type="dxa"/>
            <w:gridSpan w:val="2"/>
            <w:vAlign w:val="center"/>
          </w:tcPr>
          <w:p w14:paraId="22AF414E">
            <w:pPr>
              <w:pStyle w:val="44"/>
              <w:spacing w:line="360" w:lineRule="auto"/>
              <w:ind w:left="110" w:leftChars="50" w:right="110" w:rightChars="50"/>
              <w:jc w:val="center"/>
              <w:rPr>
                <w:rFonts w:hint="eastAsia"/>
                <w:color w:val="auto"/>
                <w:highlight w:val="none"/>
              </w:rPr>
            </w:pPr>
            <w:r>
              <w:rPr>
                <w:color w:val="auto"/>
                <w:highlight w:val="none"/>
              </w:rPr>
              <w:t>物流仓储用地</w:t>
            </w:r>
          </w:p>
        </w:tc>
        <w:tc>
          <w:tcPr>
            <w:tcW w:w="1529" w:type="dxa"/>
            <w:vAlign w:val="center"/>
          </w:tcPr>
          <w:p w14:paraId="3869071B">
            <w:pPr>
              <w:pStyle w:val="44"/>
              <w:spacing w:line="360" w:lineRule="auto"/>
              <w:ind w:left="110" w:leftChars="50" w:right="110" w:rightChars="50"/>
              <w:jc w:val="center"/>
              <w:rPr>
                <w:rFonts w:hint="eastAsia"/>
                <w:color w:val="auto"/>
                <w:highlight w:val="none"/>
              </w:rPr>
            </w:pPr>
            <w:r>
              <w:rPr>
                <w:color w:val="auto"/>
                <w:highlight w:val="none"/>
              </w:rPr>
              <w:t>0.6-1.5</w:t>
            </w:r>
          </w:p>
        </w:tc>
        <w:tc>
          <w:tcPr>
            <w:tcW w:w="2985" w:type="dxa"/>
            <w:vAlign w:val="center"/>
          </w:tcPr>
          <w:p w14:paraId="002A7F02">
            <w:pPr>
              <w:pStyle w:val="44"/>
              <w:spacing w:line="360" w:lineRule="auto"/>
              <w:ind w:left="110" w:leftChars="50" w:right="110" w:rightChars="50"/>
              <w:jc w:val="center"/>
              <w:rPr>
                <w:rFonts w:hint="eastAsia"/>
                <w:color w:val="auto"/>
                <w:highlight w:val="none"/>
              </w:rPr>
            </w:pPr>
            <w:r>
              <w:rPr>
                <w:color w:val="auto"/>
                <w:highlight w:val="none"/>
              </w:rPr>
              <w:t>≤24</w:t>
            </w:r>
          </w:p>
        </w:tc>
      </w:tr>
    </w:tbl>
    <w:p w14:paraId="05CAD852">
      <w:pPr>
        <w:spacing w:line="360" w:lineRule="auto"/>
        <w:ind w:left="110" w:leftChars="50" w:right="110" w:rightChars="50" w:firstLine="440" w:firstLineChars="200"/>
        <w:jc w:val="left"/>
        <w:rPr>
          <w:rFonts w:hint="eastAsia"/>
          <w:color w:val="auto"/>
          <w:highlight w:val="none"/>
          <w:lang w:eastAsia="zh-CN"/>
        </w:rPr>
      </w:pPr>
      <w:r>
        <w:rPr>
          <w:rFonts w:hint="eastAsia"/>
          <w:color w:val="auto"/>
          <w:sz w:val="22"/>
          <w:szCs w:val="22"/>
          <w:highlight w:val="none"/>
          <w:lang w:eastAsia="zh-CN"/>
        </w:rPr>
        <w:t>注：</w:t>
      </w:r>
      <w:r>
        <w:rPr>
          <w:color w:val="auto"/>
          <w:highlight w:val="none"/>
          <w:lang w:eastAsia="zh-CN"/>
        </w:rPr>
        <w:t>1.</w:t>
      </w:r>
      <w:r>
        <w:rPr>
          <w:rFonts w:hint="eastAsia"/>
          <w:color w:val="auto"/>
          <w:sz w:val="22"/>
          <w:szCs w:val="22"/>
          <w:highlight w:val="none"/>
          <w:lang w:eastAsia="zh-CN"/>
        </w:rPr>
        <w:t>以上指标为指引指标，新建项目宜达到指引标准，改、扩建项目参照使用。</w:t>
      </w:r>
      <w:r>
        <w:rPr>
          <w:color w:val="auto"/>
          <w:sz w:val="22"/>
          <w:szCs w:val="22"/>
          <w:highlight w:val="none"/>
          <w:lang w:eastAsia="zh-CN"/>
        </w:rPr>
        <w:t>2.</w:t>
      </w:r>
      <w:r>
        <w:rPr>
          <w:rFonts w:hint="eastAsia"/>
          <w:color w:val="auto"/>
          <w:sz w:val="22"/>
          <w:szCs w:val="22"/>
          <w:highlight w:val="none"/>
          <w:lang w:eastAsia="zh-CN"/>
        </w:rPr>
        <w:t>特殊情况由</w:t>
      </w:r>
      <w:r>
        <w:rPr>
          <w:rFonts w:hint="eastAsia"/>
          <w:color w:val="auto"/>
          <w:sz w:val="22"/>
          <w:szCs w:val="22"/>
          <w:highlight w:val="none"/>
          <w:lang w:val="en-US" w:eastAsia="zh-CN"/>
        </w:rPr>
        <w:t>柳南</w:t>
      </w:r>
      <w:r>
        <w:rPr>
          <w:rFonts w:hint="eastAsia"/>
          <w:color w:val="auto"/>
          <w:sz w:val="22"/>
          <w:szCs w:val="22"/>
          <w:highlight w:val="none"/>
          <w:lang w:eastAsia="zh-CN"/>
        </w:rPr>
        <w:t>区自然资源局结合实际拟定指引指标。</w:t>
      </w:r>
    </w:p>
    <w:p w14:paraId="5218782B">
      <w:pPr>
        <w:pStyle w:val="11"/>
        <w:spacing w:line="360" w:lineRule="auto"/>
        <w:ind w:left="110" w:leftChars="50" w:right="110" w:rightChars="50" w:firstLine="560" w:firstLineChars="200"/>
        <w:rPr>
          <w:color w:val="auto"/>
          <w:highlight w:val="none"/>
          <w:lang w:eastAsia="zh-CN"/>
        </w:rPr>
      </w:pPr>
      <w:r>
        <w:rPr>
          <w:rFonts w:hint="eastAsia" w:ascii="微软雅黑" w:hAnsi="微软雅黑" w:eastAsia="微软雅黑"/>
          <w:b/>
          <w:color w:val="auto"/>
          <w:highlight w:val="none"/>
          <w:lang w:eastAsia="zh-CN"/>
        </w:rPr>
        <w:t>第六十</w:t>
      </w:r>
      <w:r>
        <w:rPr>
          <w:rFonts w:hint="eastAsia" w:ascii="微软雅黑" w:hAnsi="微软雅黑" w:eastAsia="微软雅黑"/>
          <w:b/>
          <w:color w:val="auto"/>
          <w:highlight w:val="none"/>
          <w:lang w:val="en-US" w:eastAsia="zh-CN"/>
        </w:rPr>
        <w:t>四</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乡村公共服务设施、乡村产业用地地块内应合理建设配置停车泊位，并满足其使用要求</w:t>
      </w:r>
      <w:r>
        <w:rPr>
          <w:color w:val="auto"/>
          <w:highlight w:val="none"/>
          <w:lang w:eastAsia="zh-CN"/>
        </w:rPr>
        <w:t>。</w:t>
      </w:r>
    </w:p>
    <w:p w14:paraId="0FC6F093">
      <w:pPr>
        <w:pStyle w:val="3"/>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2"/>
          <w:szCs w:val="32"/>
          <w:highlight w:val="none"/>
          <w:lang w:eastAsia="zh-CN"/>
        </w:rPr>
      </w:pPr>
      <w:bookmarkStart w:id="33" w:name="_bookmark22"/>
      <w:bookmarkEnd w:id="33"/>
      <w:bookmarkStart w:id="34" w:name="_Toc31494"/>
      <w:r>
        <w:rPr>
          <w:rFonts w:ascii="微软雅黑" w:hAnsi="微软雅黑" w:eastAsia="微软雅黑" w:cs="微软雅黑"/>
          <w:b/>
          <w:bCs/>
          <w:color w:val="auto"/>
          <w:sz w:val="32"/>
          <w:szCs w:val="32"/>
          <w:highlight w:val="none"/>
          <w:lang w:eastAsia="zh-CN"/>
        </w:rPr>
        <w:t>第六章 其他管控指引</w:t>
      </w:r>
      <w:bookmarkEnd w:id="34"/>
    </w:p>
    <w:p w14:paraId="5E0800E8">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35" w:name="_bookmark23"/>
      <w:bookmarkEnd w:id="35"/>
      <w:r>
        <w:rPr>
          <w:rFonts w:ascii="微软雅黑" w:hAnsi="微软雅黑" w:eastAsia="微软雅黑" w:cs="微软雅黑"/>
          <w:b/>
          <w:bCs/>
          <w:color w:val="auto"/>
          <w:sz w:val="30"/>
          <w:szCs w:val="30"/>
          <w:highlight w:val="none"/>
          <w:lang w:eastAsia="zh-CN"/>
        </w:rPr>
        <w:t>第一节 乡村道路交通规划指引</w:t>
      </w:r>
    </w:p>
    <w:p w14:paraId="7417A563">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第六十</w:t>
      </w:r>
      <w:r>
        <w:rPr>
          <w:rFonts w:hint="eastAsia" w:ascii="微软雅黑" w:hAnsi="微软雅黑" w:eastAsia="微软雅黑"/>
          <w:b/>
          <w:color w:val="auto"/>
          <w:highlight w:val="none"/>
          <w:lang w:val="en-US" w:eastAsia="zh-CN"/>
        </w:rPr>
        <w:t>五</w:t>
      </w:r>
      <w:r>
        <w:rPr>
          <w:rFonts w:hint="eastAsia" w:ascii="微软雅黑" w:hAnsi="微软雅黑" w:eastAsia="微软雅黑"/>
          <w:b/>
          <w:color w:val="auto"/>
          <w:highlight w:val="none"/>
          <w:lang w:eastAsia="zh-CN"/>
        </w:rPr>
        <w:t xml:space="preserve">条 </w:t>
      </w:r>
      <w:r>
        <w:rPr>
          <w:rFonts w:hint="eastAsia"/>
          <w:color w:val="auto"/>
          <w:spacing w:val="-13"/>
          <w:highlight w:val="none"/>
          <w:lang w:eastAsia="zh-CN"/>
        </w:rPr>
        <w:t>乡村道路宜分为村域组团间连接道路、村屯内部主要道路、村屯内部次要道路三个级别。道路建设应方便村民生产生活，兼顾雨水、污水重力自流管线收集排放的要求，道路路基宽度最大不应超过8米，各级道路建设指引宜参照下表执行</w:t>
      </w:r>
      <w:r>
        <w:rPr>
          <w:color w:val="auto"/>
          <w:highlight w:val="none"/>
          <w:lang w:eastAsia="zh-CN"/>
        </w:rPr>
        <w:t>。</w:t>
      </w:r>
    </w:p>
    <w:p w14:paraId="4A30B063">
      <w:pPr>
        <w:spacing w:line="360" w:lineRule="auto"/>
        <w:ind w:left="110" w:leftChars="50" w:right="110" w:rightChars="50" w:firstLine="560" w:firstLineChars="200"/>
        <w:jc w:val="center"/>
        <w:rPr>
          <w:rFonts w:hint="eastAsia"/>
          <w:color w:val="auto"/>
          <w:sz w:val="28"/>
          <w:szCs w:val="28"/>
          <w:highlight w:val="none"/>
          <w:lang w:eastAsia="zh-CN"/>
        </w:rPr>
      </w:pPr>
      <w:r>
        <w:rPr>
          <w:rFonts w:hint="eastAsia"/>
          <w:color w:val="auto"/>
          <w:sz w:val="28"/>
          <w:szCs w:val="28"/>
          <w:highlight w:val="none"/>
          <w:lang w:eastAsia="zh-CN"/>
        </w:rPr>
        <w:t xml:space="preserve">表 </w:t>
      </w:r>
      <w:r>
        <w:rPr>
          <w:color w:val="auto"/>
          <w:sz w:val="28"/>
          <w:szCs w:val="28"/>
          <w:highlight w:val="none"/>
          <w:lang w:eastAsia="zh-CN"/>
        </w:rPr>
        <w:t xml:space="preserve">6.1  </w:t>
      </w:r>
      <w:r>
        <w:rPr>
          <w:rFonts w:hint="eastAsia"/>
          <w:color w:val="auto"/>
          <w:sz w:val="28"/>
          <w:szCs w:val="28"/>
          <w:highlight w:val="none"/>
          <w:lang w:eastAsia="zh-CN"/>
        </w:rPr>
        <w:t>乡村道路建设指引表</w:t>
      </w: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0"/>
        <w:gridCol w:w="4610"/>
        <w:gridCol w:w="3787"/>
      </w:tblGrid>
      <w:tr w14:paraId="7975C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340" w:type="dxa"/>
          </w:tcPr>
          <w:p w14:paraId="48EBB5AF">
            <w:pPr>
              <w:pStyle w:val="44"/>
              <w:spacing w:line="360" w:lineRule="auto"/>
              <w:ind w:left="110" w:leftChars="50" w:right="110" w:rightChars="50"/>
              <w:jc w:val="center"/>
              <w:rPr>
                <w:rFonts w:hint="eastAsia"/>
                <w:color w:val="auto"/>
                <w:highlight w:val="none"/>
              </w:rPr>
            </w:pPr>
            <w:r>
              <w:rPr>
                <w:color w:val="auto"/>
                <w:highlight w:val="none"/>
              </w:rPr>
              <w:t>道路级别</w:t>
            </w:r>
          </w:p>
        </w:tc>
        <w:tc>
          <w:tcPr>
            <w:tcW w:w="4610" w:type="dxa"/>
          </w:tcPr>
          <w:p w14:paraId="15A5CDBF">
            <w:pPr>
              <w:pStyle w:val="44"/>
              <w:spacing w:line="360" w:lineRule="auto"/>
              <w:ind w:left="110" w:leftChars="50" w:right="110" w:rightChars="50"/>
              <w:jc w:val="center"/>
              <w:rPr>
                <w:rFonts w:hint="eastAsia"/>
                <w:color w:val="auto"/>
                <w:highlight w:val="none"/>
              </w:rPr>
            </w:pPr>
            <w:r>
              <w:rPr>
                <w:color w:val="auto"/>
                <w:highlight w:val="none"/>
              </w:rPr>
              <w:t>建设标准</w:t>
            </w:r>
          </w:p>
        </w:tc>
        <w:tc>
          <w:tcPr>
            <w:tcW w:w="3787" w:type="dxa"/>
          </w:tcPr>
          <w:p w14:paraId="14D2E3B1">
            <w:pPr>
              <w:pStyle w:val="44"/>
              <w:spacing w:line="360" w:lineRule="auto"/>
              <w:ind w:left="110" w:leftChars="50" w:right="110" w:rightChars="50"/>
              <w:jc w:val="center"/>
              <w:rPr>
                <w:rFonts w:hint="eastAsia"/>
                <w:color w:val="auto"/>
                <w:highlight w:val="none"/>
              </w:rPr>
            </w:pPr>
            <w:r>
              <w:rPr>
                <w:color w:val="auto"/>
                <w:highlight w:val="none"/>
              </w:rPr>
              <w:t>备注</w:t>
            </w:r>
          </w:p>
        </w:tc>
      </w:tr>
      <w:tr w14:paraId="66F08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340" w:type="dxa"/>
          </w:tcPr>
          <w:p w14:paraId="36334FA0">
            <w:pPr>
              <w:pStyle w:val="44"/>
              <w:spacing w:line="360" w:lineRule="auto"/>
              <w:ind w:left="110" w:leftChars="50" w:right="110" w:rightChars="50"/>
              <w:jc w:val="left"/>
              <w:rPr>
                <w:rFonts w:hint="eastAsia"/>
                <w:color w:val="auto"/>
                <w:highlight w:val="none"/>
              </w:rPr>
            </w:pPr>
            <w:r>
              <w:rPr>
                <w:color w:val="auto"/>
                <w:highlight w:val="none"/>
              </w:rPr>
              <w:t>村域组团间连接道路</w:t>
            </w:r>
          </w:p>
        </w:tc>
        <w:tc>
          <w:tcPr>
            <w:tcW w:w="4610" w:type="dxa"/>
          </w:tcPr>
          <w:p w14:paraId="4E611056">
            <w:pPr>
              <w:pStyle w:val="44"/>
              <w:spacing w:line="360" w:lineRule="auto"/>
              <w:ind w:left="110" w:leftChars="50" w:right="110" w:rightChars="50" w:firstLine="440" w:firstLineChars="200"/>
              <w:jc w:val="left"/>
              <w:rPr>
                <w:rFonts w:hint="eastAsia"/>
                <w:color w:val="auto"/>
                <w:highlight w:val="none"/>
                <w:lang w:eastAsia="zh-CN"/>
              </w:rPr>
            </w:pPr>
            <w:r>
              <w:rPr>
                <w:color w:val="auto"/>
                <w:highlight w:val="none"/>
                <w:lang w:eastAsia="zh-CN"/>
              </w:rPr>
              <w:t>路面宽度宜为4.5-6 米，不应小于4.5米，部分条件受限地区路面宽度不宜小于3.5 米</w:t>
            </w:r>
          </w:p>
        </w:tc>
        <w:tc>
          <w:tcPr>
            <w:tcW w:w="3787" w:type="dxa"/>
          </w:tcPr>
          <w:p w14:paraId="7CBC82BD">
            <w:pPr>
              <w:pStyle w:val="44"/>
              <w:spacing w:line="360" w:lineRule="auto"/>
              <w:ind w:left="110" w:leftChars="50" w:right="110" w:rightChars="50" w:firstLine="440" w:firstLineChars="200"/>
              <w:jc w:val="left"/>
              <w:rPr>
                <w:rFonts w:hint="eastAsia"/>
                <w:color w:val="auto"/>
                <w:highlight w:val="none"/>
                <w:lang w:eastAsia="zh-CN"/>
              </w:rPr>
            </w:pPr>
            <w:r>
              <w:rPr>
                <w:color w:val="auto"/>
                <w:highlight w:val="none"/>
                <w:lang w:eastAsia="zh-CN"/>
              </w:rPr>
              <w:t>不能满足会车要求的，应在一定距离内根据地形条件设置会车场地</w:t>
            </w:r>
          </w:p>
        </w:tc>
      </w:tr>
      <w:tr w14:paraId="01ABE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340" w:type="dxa"/>
          </w:tcPr>
          <w:p w14:paraId="33BDBE74">
            <w:pPr>
              <w:pStyle w:val="44"/>
              <w:spacing w:line="360" w:lineRule="auto"/>
              <w:ind w:left="110" w:leftChars="50" w:right="110" w:rightChars="50"/>
              <w:jc w:val="left"/>
              <w:rPr>
                <w:rFonts w:hint="eastAsia"/>
                <w:color w:val="auto"/>
                <w:highlight w:val="none"/>
              </w:rPr>
            </w:pPr>
            <w:r>
              <w:rPr>
                <w:color w:val="auto"/>
                <w:highlight w:val="none"/>
              </w:rPr>
              <w:t>村屯内部主要道路</w:t>
            </w:r>
          </w:p>
        </w:tc>
        <w:tc>
          <w:tcPr>
            <w:tcW w:w="4610" w:type="dxa"/>
          </w:tcPr>
          <w:p w14:paraId="11402908">
            <w:pPr>
              <w:pStyle w:val="44"/>
              <w:spacing w:line="360" w:lineRule="auto"/>
              <w:ind w:left="110" w:leftChars="50" w:right="110" w:rightChars="50" w:firstLine="440" w:firstLineChars="200"/>
              <w:jc w:val="left"/>
              <w:rPr>
                <w:rFonts w:hint="eastAsia"/>
                <w:color w:val="auto"/>
                <w:highlight w:val="none"/>
                <w:lang w:eastAsia="zh-CN"/>
              </w:rPr>
            </w:pPr>
            <w:r>
              <w:rPr>
                <w:color w:val="auto"/>
                <w:highlight w:val="none"/>
                <w:lang w:eastAsia="zh-CN"/>
              </w:rPr>
              <w:t>路面宽度宜4.5米，不宜低于3.5 米</w:t>
            </w:r>
          </w:p>
        </w:tc>
        <w:tc>
          <w:tcPr>
            <w:tcW w:w="3787" w:type="dxa"/>
          </w:tcPr>
          <w:p w14:paraId="6572D6EB">
            <w:pPr>
              <w:pStyle w:val="44"/>
              <w:spacing w:line="360" w:lineRule="auto"/>
              <w:ind w:left="110" w:leftChars="50" w:right="110" w:rightChars="50" w:firstLine="440" w:firstLineChars="200"/>
              <w:jc w:val="left"/>
              <w:rPr>
                <w:rFonts w:hint="eastAsia"/>
                <w:color w:val="auto"/>
                <w:highlight w:val="none"/>
                <w:lang w:eastAsia="zh-CN"/>
              </w:rPr>
            </w:pPr>
            <w:r>
              <w:rPr>
                <w:color w:val="auto"/>
                <w:highlight w:val="none"/>
                <w:lang w:eastAsia="zh-CN"/>
              </w:rPr>
              <w:t>不能满足会车要求的，应在一定距离内根据地形条件设置会车场地</w:t>
            </w:r>
          </w:p>
        </w:tc>
      </w:tr>
      <w:tr w14:paraId="4590E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340" w:type="dxa"/>
          </w:tcPr>
          <w:p w14:paraId="3B9749FB">
            <w:pPr>
              <w:pStyle w:val="44"/>
              <w:spacing w:line="360" w:lineRule="auto"/>
              <w:ind w:left="110" w:leftChars="50" w:right="110" w:rightChars="50"/>
              <w:jc w:val="left"/>
              <w:rPr>
                <w:rFonts w:hint="eastAsia"/>
                <w:color w:val="auto"/>
                <w:highlight w:val="none"/>
              </w:rPr>
            </w:pPr>
            <w:r>
              <w:rPr>
                <w:color w:val="auto"/>
                <w:highlight w:val="none"/>
              </w:rPr>
              <w:t>村屯内部次要道路</w:t>
            </w:r>
          </w:p>
        </w:tc>
        <w:tc>
          <w:tcPr>
            <w:tcW w:w="4610" w:type="dxa"/>
          </w:tcPr>
          <w:p w14:paraId="35FE03BE">
            <w:pPr>
              <w:pStyle w:val="44"/>
              <w:spacing w:line="360" w:lineRule="auto"/>
              <w:ind w:left="110" w:leftChars="50" w:right="110" w:rightChars="50" w:firstLine="440" w:firstLineChars="200"/>
              <w:jc w:val="left"/>
              <w:rPr>
                <w:rFonts w:hint="eastAsia"/>
                <w:color w:val="auto"/>
                <w:highlight w:val="none"/>
              </w:rPr>
            </w:pPr>
            <w:r>
              <w:rPr>
                <w:color w:val="auto"/>
                <w:highlight w:val="none"/>
              </w:rPr>
              <w:t>路面宽度不宜小于2.5米</w:t>
            </w:r>
          </w:p>
        </w:tc>
        <w:tc>
          <w:tcPr>
            <w:tcW w:w="3787" w:type="dxa"/>
          </w:tcPr>
          <w:p w14:paraId="6CE26D88">
            <w:pPr>
              <w:pStyle w:val="44"/>
              <w:spacing w:line="360" w:lineRule="auto"/>
              <w:ind w:left="110" w:leftChars="50" w:right="110" w:rightChars="50" w:firstLine="440" w:firstLineChars="200"/>
              <w:jc w:val="left"/>
              <w:rPr>
                <w:rFonts w:hint="eastAsia"/>
                <w:color w:val="auto"/>
                <w:highlight w:val="none"/>
              </w:rPr>
            </w:pPr>
            <w:r>
              <w:rPr>
                <w:color w:val="auto"/>
                <w:highlight w:val="none"/>
              </w:rPr>
              <w:t>—</w:t>
            </w:r>
          </w:p>
        </w:tc>
      </w:tr>
    </w:tbl>
    <w:p w14:paraId="641F191C">
      <w:pPr>
        <w:spacing w:line="360" w:lineRule="auto"/>
        <w:ind w:left="110" w:leftChars="50" w:right="110" w:rightChars="50" w:firstLine="440" w:firstLineChars="200"/>
        <w:rPr>
          <w:rFonts w:hint="eastAsia"/>
          <w:color w:val="auto"/>
          <w:highlight w:val="none"/>
          <w:lang w:eastAsia="zh-CN"/>
        </w:rPr>
      </w:pPr>
      <w:r>
        <w:rPr>
          <w:color w:val="auto"/>
          <w:highlight w:val="none"/>
          <w:lang w:eastAsia="zh-CN"/>
        </w:rPr>
        <w:t>注：乡村道路竖向设计根据现状地形，在减少土石方量并满足道路排水要求的前提下，道路纵坡宜控制在</w:t>
      </w:r>
      <w:r>
        <w:rPr>
          <w:rFonts w:hint="eastAsia"/>
          <w:color w:val="auto"/>
          <w:highlight w:val="none"/>
          <w:lang w:eastAsia="zh-CN"/>
        </w:rPr>
        <w:t>0.3</w:t>
      </w:r>
      <w:r>
        <w:rPr>
          <w:color w:val="auto"/>
          <w:highlight w:val="none"/>
          <w:lang w:eastAsia="zh-CN"/>
        </w:rPr>
        <w:t>%～8%之间；乡村道路仅作为人行道路的，道路纵坡宜控制在8%以内，超过 8%的坡度宜设置梯道。</w:t>
      </w:r>
    </w:p>
    <w:p w14:paraId="18132EBA">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第六十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条</w:t>
      </w:r>
      <w:r>
        <w:rPr>
          <w:rFonts w:hint="eastAsia"/>
          <w:b/>
          <w:color w:val="auto"/>
          <w:spacing w:val="10"/>
          <w:highlight w:val="none"/>
          <w:lang w:eastAsia="zh-CN"/>
        </w:rPr>
        <w:t xml:space="preserve"> </w:t>
      </w:r>
      <w:r>
        <w:rPr>
          <w:rFonts w:hint="eastAsia"/>
          <w:color w:val="auto"/>
          <w:spacing w:val="-16"/>
          <w:highlight w:val="none"/>
          <w:lang w:eastAsia="zh-CN"/>
        </w:rPr>
        <w:t>新建、改建乡村道路时，应当作为消防通道使用的，其路面宽度、转弯半径以及管架、栈桥等设施跨越道路的高度，应当符合消防车辆通行要求，消防车通道净宽、净高度均</w:t>
      </w:r>
      <w:r>
        <w:rPr>
          <w:rFonts w:hint="eastAsia"/>
          <w:color w:val="auto"/>
          <w:spacing w:val="-16"/>
          <w:highlight w:val="none"/>
          <w:lang w:val="en-US" w:eastAsia="zh-CN"/>
        </w:rPr>
        <w:t>不应小于</w:t>
      </w:r>
      <w:r>
        <w:rPr>
          <w:rFonts w:hint="eastAsia"/>
          <w:color w:val="auto"/>
          <w:spacing w:val="-16"/>
          <w:highlight w:val="none"/>
          <w:lang w:eastAsia="zh-CN"/>
        </w:rPr>
        <w:t>4米，转弯半径不小于9米</w:t>
      </w:r>
      <w:r>
        <w:rPr>
          <w:color w:val="auto"/>
          <w:highlight w:val="none"/>
          <w:lang w:eastAsia="zh-CN"/>
        </w:rPr>
        <w:t>。</w:t>
      </w:r>
    </w:p>
    <w:p w14:paraId="32F44A19">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第六十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 xml:space="preserve">条 </w:t>
      </w:r>
      <w:r>
        <w:rPr>
          <w:rFonts w:hint="eastAsia"/>
          <w:color w:val="auto"/>
          <w:spacing w:val="-14"/>
          <w:highlight w:val="none"/>
          <w:lang w:eastAsia="zh-CN"/>
        </w:rPr>
        <w:t>乡村产业道路应避免占用耕地，确需占用耕地的，应减少对耕地的破坏，宜采用非硬化铺装路面，宽度宜为3～6米，不宜低于2.5米</w:t>
      </w:r>
      <w:r>
        <w:rPr>
          <w:color w:val="auto"/>
          <w:highlight w:val="none"/>
          <w:lang w:eastAsia="zh-CN"/>
        </w:rPr>
        <w:t>。</w:t>
      </w:r>
    </w:p>
    <w:p w14:paraId="60CB6138">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第</w:t>
      </w:r>
      <w:r>
        <w:rPr>
          <w:rFonts w:hint="eastAsia" w:ascii="微软雅黑" w:hAnsi="微软雅黑" w:eastAsia="微软雅黑"/>
          <w:b/>
          <w:color w:val="auto"/>
          <w:sz w:val="28"/>
          <w:szCs w:val="28"/>
          <w:highlight w:val="none"/>
          <w:lang w:val="en-US" w:eastAsia="zh-CN"/>
        </w:rPr>
        <w:t>六十八</w:t>
      </w:r>
      <w:r>
        <w:rPr>
          <w:rFonts w:hint="eastAsia" w:ascii="微软雅黑" w:hAnsi="微软雅黑" w:eastAsia="微软雅黑"/>
          <w:b/>
          <w:color w:val="auto"/>
          <w:sz w:val="28"/>
          <w:szCs w:val="28"/>
          <w:highlight w:val="none"/>
          <w:lang w:eastAsia="zh-CN"/>
        </w:rPr>
        <w:t xml:space="preserve">条 </w:t>
      </w:r>
      <w:r>
        <w:rPr>
          <w:color w:val="auto"/>
          <w:sz w:val="28"/>
          <w:szCs w:val="28"/>
          <w:highlight w:val="none"/>
          <w:lang w:eastAsia="zh-CN"/>
        </w:rPr>
        <w:t>其他乡村道路交通设施建设遵循如下规定：</w:t>
      </w:r>
    </w:p>
    <w:p w14:paraId="755D8DC3">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（一）</w:t>
      </w:r>
      <w:r>
        <w:rPr>
          <w:rFonts w:hint="eastAsia"/>
          <w:color w:val="auto"/>
          <w:highlight w:val="none"/>
          <w:lang w:eastAsia="zh-CN"/>
        </w:rPr>
        <w:t>乡村公共交通站点（候车亭）宜结合乡村公共交通线路布置，并靠近农村居民点，方便使用</w:t>
      </w:r>
      <w:r>
        <w:rPr>
          <w:color w:val="auto"/>
          <w:highlight w:val="none"/>
          <w:lang w:eastAsia="zh-CN"/>
        </w:rPr>
        <w:t>。</w:t>
      </w:r>
    </w:p>
    <w:p w14:paraId="21146BAD">
      <w:pPr>
        <w:pStyle w:val="11"/>
        <w:spacing w:line="360" w:lineRule="auto"/>
        <w:ind w:left="110" w:leftChars="50" w:right="110" w:rightChars="50" w:firstLine="560" w:firstLineChars="200"/>
        <w:rPr>
          <w:rFonts w:hint="eastAsia"/>
          <w:color w:val="auto"/>
          <w:highlight w:val="none"/>
          <w:lang w:eastAsia="zh-CN"/>
        </w:rPr>
      </w:pPr>
      <w:r>
        <w:rPr>
          <w:color w:val="auto"/>
          <w:highlight w:val="none"/>
          <w:lang w:eastAsia="zh-CN"/>
        </w:rPr>
        <w:t>（二</w:t>
      </w:r>
      <w:r>
        <w:rPr>
          <w:color w:val="auto"/>
          <w:spacing w:val="-56"/>
          <w:highlight w:val="none"/>
          <w:lang w:eastAsia="zh-CN"/>
        </w:rPr>
        <w:t>）</w:t>
      </w:r>
      <w:r>
        <w:rPr>
          <w:rFonts w:hint="eastAsia"/>
          <w:color w:val="auto"/>
          <w:spacing w:val="-3"/>
          <w:highlight w:val="none"/>
          <w:lang w:eastAsia="zh-CN"/>
        </w:rPr>
        <w:t>乡村停车场地布置应结合村庄实际情况可采取集中与分散相结合方式布置，发展乡村旅游的村庄应配置旅游专用停车场地，不宜与村庄村民停车场地混用。宜建设生态停车场的方式，鼓励停车场与晒谷场、广场等复合利用，还应考虑新能源汽车充电需求配置相应的充电停车泊位</w:t>
      </w:r>
      <w:r>
        <w:rPr>
          <w:color w:val="auto"/>
          <w:spacing w:val="-3"/>
          <w:highlight w:val="none"/>
          <w:lang w:eastAsia="zh-CN"/>
        </w:rPr>
        <w:t>。</w:t>
      </w:r>
    </w:p>
    <w:p w14:paraId="27738CD0">
      <w:pPr>
        <w:pStyle w:val="11"/>
        <w:spacing w:line="360" w:lineRule="auto"/>
        <w:ind w:left="110" w:leftChars="50" w:right="110" w:rightChars="50" w:firstLine="560" w:firstLineChars="200"/>
        <w:jc w:val="both"/>
        <w:rPr>
          <w:rFonts w:hint="eastAsia"/>
          <w:color w:val="auto"/>
          <w:highlight w:val="none"/>
          <w:lang w:eastAsia="zh-CN"/>
        </w:rPr>
      </w:pPr>
      <w:r>
        <w:rPr>
          <w:color w:val="auto"/>
          <w:highlight w:val="none"/>
          <w:lang w:eastAsia="zh-CN"/>
        </w:rPr>
        <w:t>（三</w:t>
      </w:r>
      <w:r>
        <w:rPr>
          <w:color w:val="auto"/>
          <w:spacing w:val="-3"/>
          <w:highlight w:val="none"/>
          <w:lang w:eastAsia="zh-CN"/>
        </w:rPr>
        <w:t>）</w:t>
      </w:r>
      <w:r>
        <w:rPr>
          <w:rFonts w:hint="eastAsia"/>
          <w:color w:val="auto"/>
          <w:spacing w:val="-6"/>
          <w:highlight w:val="none"/>
          <w:lang w:eastAsia="zh-CN"/>
        </w:rPr>
        <w:t>宜沿主要乡村道路沿线设置路灯，设置间距为20-30 米，宜采用太阳能路灯</w:t>
      </w:r>
      <w:r>
        <w:rPr>
          <w:color w:val="auto"/>
          <w:spacing w:val="-3"/>
          <w:highlight w:val="none"/>
          <w:lang w:eastAsia="zh-CN"/>
        </w:rPr>
        <w:t>。</w:t>
      </w:r>
    </w:p>
    <w:p w14:paraId="16EDCD8C">
      <w:pPr>
        <w:pStyle w:val="11"/>
        <w:spacing w:line="360" w:lineRule="auto"/>
        <w:ind w:left="110" w:leftChars="50" w:right="110" w:rightChars="50" w:firstLine="560" w:firstLineChars="200"/>
        <w:rPr>
          <w:color w:val="auto"/>
          <w:highlight w:val="none"/>
          <w:lang w:eastAsia="zh-CN"/>
        </w:rPr>
      </w:pPr>
      <w:r>
        <w:rPr>
          <w:color w:val="auto"/>
          <w:highlight w:val="none"/>
          <w:lang w:eastAsia="zh-CN"/>
        </w:rPr>
        <w:t>（四）</w:t>
      </w:r>
      <w:r>
        <w:rPr>
          <w:rFonts w:hint="eastAsia"/>
          <w:color w:val="auto"/>
          <w:highlight w:val="none"/>
          <w:lang w:eastAsia="zh-CN"/>
        </w:rPr>
        <w:t>交通安全设施、道路标识等结合国家相关行业建设标准设置</w:t>
      </w:r>
      <w:r>
        <w:rPr>
          <w:color w:val="auto"/>
          <w:highlight w:val="none"/>
          <w:lang w:eastAsia="zh-CN"/>
        </w:rPr>
        <w:t>。</w:t>
      </w:r>
    </w:p>
    <w:p w14:paraId="3BF3405D">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36" w:name="_bookmark24"/>
      <w:bookmarkEnd w:id="36"/>
      <w:r>
        <w:rPr>
          <w:rFonts w:ascii="微软雅黑" w:hAnsi="微软雅黑" w:eastAsia="微软雅黑" w:cs="微软雅黑"/>
          <w:b/>
          <w:bCs/>
          <w:color w:val="auto"/>
          <w:sz w:val="30"/>
          <w:szCs w:val="30"/>
          <w:highlight w:val="none"/>
          <w:lang w:eastAsia="zh-CN"/>
        </w:rPr>
        <w:t>第二节 乡村建筑设计指引</w:t>
      </w:r>
    </w:p>
    <w:p w14:paraId="7DF8F4B7">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w:t>
      </w:r>
      <w:r>
        <w:rPr>
          <w:rFonts w:hint="eastAsia" w:ascii="微软雅黑" w:hAnsi="微软雅黑" w:eastAsia="微软雅黑"/>
          <w:b/>
          <w:color w:val="auto"/>
          <w:sz w:val="28"/>
          <w:szCs w:val="28"/>
          <w:highlight w:val="none"/>
          <w:lang w:val="en-US" w:eastAsia="zh-CN"/>
        </w:rPr>
        <w:t>六十九</w:t>
      </w:r>
      <w:r>
        <w:rPr>
          <w:rFonts w:hint="eastAsia" w:ascii="微软雅黑" w:hAnsi="微软雅黑" w:eastAsia="微软雅黑"/>
          <w:b/>
          <w:color w:val="auto"/>
          <w:highlight w:val="none"/>
          <w:lang w:eastAsia="zh-CN"/>
        </w:rPr>
        <w:t>条</w:t>
      </w:r>
      <w:r>
        <w:rPr>
          <w:rFonts w:hint="eastAsia"/>
          <w:b/>
          <w:color w:val="auto"/>
          <w:spacing w:val="13"/>
          <w:highlight w:val="none"/>
          <w:lang w:eastAsia="zh-CN"/>
        </w:rPr>
        <w:t xml:space="preserve"> </w:t>
      </w:r>
      <w:r>
        <w:rPr>
          <w:rFonts w:hint="eastAsia"/>
          <w:color w:val="auto"/>
          <w:spacing w:val="-25"/>
          <w:highlight w:val="none"/>
          <w:lang w:eastAsia="zh-CN"/>
        </w:rPr>
        <w:t>应以建设“功能现代、结构安全、成本经济、绿色环保”为原则，宜采用经济、绿色、安全、可靠的乡土建材</w:t>
      </w:r>
      <w:r>
        <w:rPr>
          <w:color w:val="auto"/>
          <w:spacing w:val="-10"/>
          <w:highlight w:val="none"/>
          <w:lang w:eastAsia="zh-CN"/>
        </w:rPr>
        <w:t>。</w:t>
      </w:r>
    </w:p>
    <w:p w14:paraId="52D114E1">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 xml:space="preserve">第七十条 </w:t>
      </w:r>
      <w:r>
        <w:rPr>
          <w:rFonts w:hint="eastAsia"/>
          <w:color w:val="auto"/>
          <w:highlight w:val="none"/>
          <w:lang w:eastAsia="zh-CN"/>
        </w:rPr>
        <w:t>乡村建筑设计应满足通风、采光等建筑环境质量标准的要求，新建、改建建筑不得影响邻里和既有建（构）筑物。乡村建筑抗震、防火、防洪、防雷等安全设计应符合相关规范要求，改建建筑应满足结构承载安全要求</w:t>
      </w:r>
      <w:r>
        <w:rPr>
          <w:color w:val="auto"/>
          <w:highlight w:val="none"/>
          <w:lang w:eastAsia="zh-CN"/>
        </w:rPr>
        <w:t>。</w:t>
      </w:r>
    </w:p>
    <w:p w14:paraId="3A1AD414">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一</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乡村建筑设计指标应符合乡村建设规划许可、农房建设管理等要求。新建建筑在办理乡村建设规划许可证时，应提供所采用的建筑建设标准图集或计划使用的房屋设计方案，严格实施“带图报建”制度</w:t>
      </w:r>
      <w:r>
        <w:rPr>
          <w:color w:val="auto"/>
          <w:spacing w:val="-3"/>
          <w:highlight w:val="none"/>
          <w:lang w:eastAsia="zh-CN"/>
        </w:rPr>
        <w:t>。</w:t>
      </w:r>
    </w:p>
    <w:p w14:paraId="3246E306">
      <w:pPr>
        <w:pStyle w:val="11"/>
        <w:spacing w:line="360" w:lineRule="auto"/>
        <w:ind w:left="110" w:leftChars="50" w:right="110" w:rightChars="50" w:firstLine="560" w:firstLineChars="200"/>
        <w:jc w:val="both"/>
        <w:rPr>
          <w:rFonts w:hint="eastAsia"/>
          <w:color w:val="auto"/>
          <w:spacing w:val="-13"/>
          <w:highlight w:val="yellow"/>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 xml:space="preserve">条 </w:t>
      </w:r>
      <w:r>
        <w:rPr>
          <w:rFonts w:hint="eastAsia"/>
          <w:color w:val="auto"/>
          <w:spacing w:val="-13"/>
          <w:highlight w:val="none"/>
          <w:lang w:eastAsia="zh-CN"/>
        </w:rPr>
        <w:t>乡村建筑设计应以地域空间为主体，体现地域特点、民族文化特色的叠加，突出主导性，找寻区域共性和差异，反映传统民居建筑风貌的主要分区，符合其所在地的建筑风貌管控要求，与周边风貌相协调。</w:t>
      </w:r>
    </w:p>
    <w:p w14:paraId="5C664E44">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37" w:name="_bookmark25"/>
      <w:bookmarkEnd w:id="37"/>
      <w:r>
        <w:rPr>
          <w:rFonts w:ascii="微软雅黑" w:hAnsi="微软雅黑" w:eastAsia="微软雅黑" w:cs="微软雅黑"/>
          <w:b/>
          <w:bCs/>
          <w:color w:val="auto"/>
          <w:sz w:val="30"/>
          <w:szCs w:val="30"/>
          <w:highlight w:val="none"/>
          <w:lang w:eastAsia="zh-CN"/>
        </w:rPr>
        <w:t>第三节 历史文化遗产保护管控</w:t>
      </w:r>
    </w:p>
    <w:p w14:paraId="5BD568C8">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三</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乡村建设中不得拆除、迁移、破坏文物保护单位、历史建筑、一般不可移动文物等，不得擅自拆除、迁移、破坏其他具备保护价值的历史建（构）筑物。</w:t>
      </w:r>
    </w:p>
    <w:p w14:paraId="2521B7F2">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四</w:t>
      </w:r>
      <w:r>
        <w:rPr>
          <w:rFonts w:hint="eastAsia" w:ascii="微软雅黑" w:hAnsi="微软雅黑" w:eastAsia="微软雅黑"/>
          <w:b/>
          <w:color w:val="auto"/>
          <w:highlight w:val="none"/>
          <w:lang w:eastAsia="zh-CN"/>
        </w:rPr>
        <w:t xml:space="preserve">条 </w:t>
      </w:r>
      <w:r>
        <w:rPr>
          <w:rFonts w:hint="eastAsia"/>
          <w:color w:val="auto"/>
          <w:spacing w:val="-17"/>
          <w:highlight w:val="none"/>
          <w:lang w:eastAsia="zh-CN"/>
        </w:rPr>
        <w:t>严格控制历史文化名村、传统村落、已划定历史文化保护线的乡村土地开发建设强度和风貌管控，应符合其保护规划和管控要求。在历史文化名村、传统村落、历史文化保护线内以及其周边的各项乡村建设，建筑风貌应符合保护规划的管控要求，并与周边环境相协调</w:t>
      </w:r>
      <w:r>
        <w:rPr>
          <w:color w:val="auto"/>
          <w:highlight w:val="none"/>
          <w:lang w:eastAsia="zh-CN"/>
        </w:rPr>
        <w:t>。</w:t>
      </w:r>
    </w:p>
    <w:p w14:paraId="199A78FC">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五</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已纳入传统村落名录和拟申请传统村落的村庄，应按传统村落规划编制要求进行管控</w:t>
      </w:r>
      <w:r>
        <w:rPr>
          <w:color w:val="auto"/>
          <w:highlight w:val="none"/>
          <w:lang w:eastAsia="zh-CN"/>
        </w:rPr>
        <w:t>。</w:t>
      </w:r>
    </w:p>
    <w:p w14:paraId="56202C9E">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 xml:space="preserve">条 </w:t>
      </w:r>
      <w:r>
        <w:rPr>
          <w:rFonts w:hint="eastAsia"/>
          <w:color w:val="auto"/>
          <w:spacing w:val="-16"/>
          <w:highlight w:val="none"/>
          <w:lang w:eastAsia="zh-CN"/>
        </w:rPr>
        <w:t>不得随意改变文物保护单位、历史建筑、一般不可移动文物及其他具备保护价值的历史建（构）筑物的建筑形态、色彩等，在符合保护规划的管控要求下，可结合乡村发展需求适当活化利用，发展乡村旅游等产业</w:t>
      </w:r>
      <w:r>
        <w:rPr>
          <w:color w:val="auto"/>
          <w:highlight w:val="none"/>
          <w:lang w:eastAsia="zh-CN"/>
        </w:rPr>
        <w:t>。</w:t>
      </w:r>
    </w:p>
    <w:p w14:paraId="2B5C97C5">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严格保护非物质文化遗产，乡村建设中应加强保护和延续地方民俗，依托自然环境及自然风光，遵循村庄空间肌理格局，体现地方特色，不随意改变原乡村生活方式。强化非物质文化遗产的保护与传承，乡村建设中宜采用传统建筑的工艺，建筑立面、墙绘、院墙、巷道、景观小品等建（构）筑物的打造可体现乡村文化遗产的元素利用。</w:t>
      </w:r>
    </w:p>
    <w:p w14:paraId="1A372966">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38" w:name="_bookmark26"/>
      <w:bookmarkEnd w:id="38"/>
      <w:r>
        <w:rPr>
          <w:rFonts w:ascii="微软雅黑" w:hAnsi="微软雅黑" w:eastAsia="微软雅黑" w:cs="微软雅黑"/>
          <w:b/>
          <w:bCs/>
          <w:color w:val="auto"/>
          <w:sz w:val="30"/>
          <w:szCs w:val="30"/>
          <w:highlight w:val="none"/>
          <w:lang w:eastAsia="zh-CN"/>
        </w:rPr>
        <w:t>第四节 重点地段建设管控要求</w:t>
      </w:r>
    </w:p>
    <w:p w14:paraId="513BF6CF">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八</w:t>
      </w:r>
      <w:r>
        <w:rPr>
          <w:rFonts w:hint="eastAsia" w:ascii="微软雅黑" w:hAnsi="微软雅黑" w:eastAsia="微软雅黑"/>
          <w:b/>
          <w:color w:val="auto"/>
          <w:highlight w:val="none"/>
          <w:lang w:eastAsia="zh-CN"/>
        </w:rPr>
        <w:t xml:space="preserve">条 </w:t>
      </w:r>
      <w:r>
        <w:rPr>
          <w:rFonts w:hint="eastAsia"/>
          <w:color w:val="auto"/>
          <w:spacing w:val="-16"/>
          <w:highlight w:val="none"/>
          <w:lang w:eastAsia="zh-CN"/>
        </w:rPr>
        <w:t>应加强风景名胜区、公园、景区、旅游区内或位于其周边的村庄乡村规划管理，乡村建设应符合公园、景区、旅游区规划建设的有关要求</w:t>
      </w:r>
      <w:r>
        <w:rPr>
          <w:color w:val="auto"/>
          <w:spacing w:val="-3"/>
          <w:highlight w:val="none"/>
          <w:lang w:eastAsia="zh-CN"/>
        </w:rPr>
        <w:t>。</w:t>
      </w:r>
    </w:p>
    <w:p w14:paraId="04784B5A">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第七十</w:t>
      </w:r>
      <w:r>
        <w:rPr>
          <w:rFonts w:hint="eastAsia" w:ascii="微软雅黑" w:hAnsi="微软雅黑" w:eastAsia="微软雅黑"/>
          <w:b/>
          <w:color w:val="auto"/>
          <w:highlight w:val="none"/>
          <w:lang w:val="en-US" w:eastAsia="zh-CN"/>
        </w:rPr>
        <w:t>九</w:t>
      </w:r>
      <w:r>
        <w:rPr>
          <w:rFonts w:hint="eastAsia" w:ascii="微软雅黑" w:hAnsi="微软雅黑" w:eastAsia="微软雅黑"/>
          <w:b/>
          <w:color w:val="auto"/>
          <w:highlight w:val="none"/>
          <w:lang w:eastAsia="zh-CN"/>
        </w:rPr>
        <w:t>条</w:t>
      </w:r>
      <w:r>
        <w:rPr>
          <w:rFonts w:hint="eastAsia"/>
          <w:b/>
          <w:color w:val="auto"/>
          <w:spacing w:val="6"/>
          <w:highlight w:val="none"/>
          <w:lang w:eastAsia="zh-CN"/>
        </w:rPr>
        <w:t xml:space="preserve"> </w:t>
      </w:r>
      <w:r>
        <w:rPr>
          <w:rFonts w:hint="eastAsia"/>
          <w:color w:val="auto"/>
          <w:highlight w:val="none"/>
          <w:lang w:eastAsia="zh-CN"/>
        </w:rPr>
        <w:t>加强滨水区域建设控制，在符合生态保护红线、洪涝风险控制线、河湖管理范围线、饮用水水源保护区等底线管控要求下，依据《柳州市水系景观和保护规划》，乡村滨水区域建设控制要求参照如下执行</w:t>
      </w:r>
      <w:r>
        <w:rPr>
          <w:color w:val="auto"/>
          <w:spacing w:val="-5"/>
          <w:highlight w:val="none"/>
          <w:lang w:eastAsia="zh-CN"/>
        </w:rPr>
        <w:t>。</w:t>
      </w:r>
    </w:p>
    <w:p w14:paraId="15EF819B">
      <w:pPr>
        <w:spacing w:line="360" w:lineRule="auto"/>
        <w:ind w:left="110" w:leftChars="50" w:right="110" w:rightChars="50" w:firstLine="560" w:firstLineChars="200"/>
        <w:jc w:val="center"/>
        <w:rPr>
          <w:rFonts w:hint="eastAsia"/>
          <w:color w:val="auto"/>
          <w:sz w:val="28"/>
          <w:szCs w:val="28"/>
          <w:highlight w:val="none"/>
          <w:lang w:eastAsia="zh-CN"/>
        </w:rPr>
      </w:pPr>
      <w:r>
        <w:rPr>
          <w:rFonts w:hint="eastAsia"/>
          <w:color w:val="auto"/>
          <w:sz w:val="28"/>
          <w:szCs w:val="28"/>
          <w:highlight w:val="none"/>
          <w:lang w:eastAsia="zh-CN"/>
        </w:rPr>
        <w:t xml:space="preserve">表 </w:t>
      </w:r>
      <w:r>
        <w:rPr>
          <w:color w:val="auto"/>
          <w:sz w:val="28"/>
          <w:szCs w:val="28"/>
          <w:highlight w:val="none"/>
          <w:lang w:eastAsia="zh-CN"/>
        </w:rPr>
        <w:t>6.</w:t>
      </w:r>
      <w:r>
        <w:rPr>
          <w:rFonts w:hint="eastAsia"/>
          <w:color w:val="auto"/>
          <w:sz w:val="28"/>
          <w:szCs w:val="28"/>
          <w:highlight w:val="none"/>
          <w:lang w:val="en-US" w:eastAsia="zh-CN"/>
        </w:rPr>
        <w:t>2</w:t>
      </w:r>
      <w:r>
        <w:rPr>
          <w:color w:val="auto"/>
          <w:sz w:val="28"/>
          <w:szCs w:val="28"/>
          <w:highlight w:val="none"/>
          <w:lang w:eastAsia="zh-CN"/>
        </w:rPr>
        <w:t xml:space="preserve"> </w:t>
      </w:r>
      <w:r>
        <w:rPr>
          <w:rFonts w:hint="eastAsia"/>
          <w:color w:val="auto"/>
          <w:sz w:val="28"/>
          <w:szCs w:val="28"/>
          <w:highlight w:val="none"/>
          <w:lang w:eastAsia="zh-CN"/>
        </w:rPr>
        <w:t>柳南</w:t>
      </w:r>
      <w:r>
        <w:rPr>
          <w:color w:val="auto"/>
          <w:sz w:val="28"/>
          <w:szCs w:val="28"/>
          <w:highlight w:val="none"/>
          <w:lang w:eastAsia="zh-CN"/>
        </w:rPr>
        <w:t>区水生态保护分区分级控制表</w:t>
      </w: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6"/>
        <w:gridCol w:w="2635"/>
        <w:gridCol w:w="2786"/>
        <w:gridCol w:w="2764"/>
      </w:tblGrid>
      <w:tr w14:paraId="4FD67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556" w:type="dxa"/>
          </w:tcPr>
          <w:p w14:paraId="204BDCD8">
            <w:pPr>
              <w:pStyle w:val="44"/>
              <w:spacing w:line="360" w:lineRule="auto"/>
              <w:ind w:left="110" w:leftChars="50" w:right="110" w:rightChars="50"/>
              <w:rPr>
                <w:rFonts w:hint="eastAsia"/>
                <w:color w:val="auto"/>
                <w:highlight w:val="none"/>
                <w:lang w:eastAsia="zh-CN"/>
              </w:rPr>
            </w:pPr>
            <w:r>
              <w:rPr>
                <w:color w:val="auto"/>
                <w:highlight w:val="none"/>
              </w:rPr>
              <w:t>河道保护级别</w:t>
            </w:r>
          </w:p>
        </w:tc>
        <w:tc>
          <w:tcPr>
            <w:tcW w:w="2635" w:type="dxa"/>
          </w:tcPr>
          <w:p w14:paraId="19641387">
            <w:pPr>
              <w:pStyle w:val="44"/>
              <w:spacing w:line="360" w:lineRule="auto"/>
              <w:ind w:left="110" w:leftChars="50" w:right="110" w:rightChars="50"/>
              <w:rPr>
                <w:rFonts w:hint="eastAsia"/>
                <w:color w:val="auto"/>
                <w:highlight w:val="none"/>
              </w:rPr>
            </w:pPr>
            <w:r>
              <w:rPr>
                <w:color w:val="auto"/>
                <w:highlight w:val="none"/>
              </w:rPr>
              <w:t>涉及水系</w:t>
            </w:r>
          </w:p>
        </w:tc>
        <w:tc>
          <w:tcPr>
            <w:tcW w:w="2786" w:type="dxa"/>
          </w:tcPr>
          <w:p w14:paraId="2F4DD957">
            <w:pPr>
              <w:pStyle w:val="44"/>
              <w:spacing w:line="360" w:lineRule="auto"/>
              <w:ind w:left="110" w:leftChars="50" w:right="110" w:rightChars="50"/>
              <w:rPr>
                <w:rFonts w:hint="eastAsia"/>
                <w:color w:val="auto"/>
                <w:highlight w:val="none"/>
                <w:lang w:eastAsia="zh-CN"/>
              </w:rPr>
            </w:pPr>
            <w:r>
              <w:rPr>
                <w:color w:val="auto"/>
                <w:highlight w:val="none"/>
                <w:lang w:eastAsia="zh-CN"/>
              </w:rPr>
              <w:t>水生态核心保护区（米）</w:t>
            </w:r>
          </w:p>
        </w:tc>
        <w:tc>
          <w:tcPr>
            <w:tcW w:w="2764" w:type="dxa"/>
          </w:tcPr>
          <w:p w14:paraId="5897BA64">
            <w:pPr>
              <w:pStyle w:val="44"/>
              <w:spacing w:line="360" w:lineRule="auto"/>
              <w:ind w:left="110" w:leftChars="50" w:right="110" w:rightChars="50"/>
              <w:rPr>
                <w:rFonts w:hint="eastAsia"/>
                <w:color w:val="auto"/>
                <w:highlight w:val="none"/>
                <w:lang w:eastAsia="zh-CN"/>
              </w:rPr>
            </w:pPr>
            <w:r>
              <w:rPr>
                <w:color w:val="auto"/>
                <w:highlight w:val="none"/>
                <w:lang w:eastAsia="zh-CN"/>
              </w:rPr>
              <w:t>水生态控制保护区（米）</w:t>
            </w:r>
          </w:p>
        </w:tc>
      </w:tr>
      <w:tr w14:paraId="20630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56" w:type="dxa"/>
          </w:tcPr>
          <w:p w14:paraId="72554989">
            <w:pPr>
              <w:pStyle w:val="44"/>
              <w:spacing w:line="360" w:lineRule="auto"/>
              <w:ind w:left="110" w:leftChars="50" w:right="110" w:rightChars="50"/>
              <w:rPr>
                <w:rFonts w:hint="eastAsia"/>
                <w:color w:val="auto"/>
                <w:highlight w:val="none"/>
              </w:rPr>
            </w:pPr>
            <w:r>
              <w:rPr>
                <w:color w:val="auto"/>
                <w:highlight w:val="none"/>
              </w:rPr>
              <w:t>一级</w:t>
            </w:r>
          </w:p>
        </w:tc>
        <w:tc>
          <w:tcPr>
            <w:tcW w:w="2635" w:type="dxa"/>
          </w:tcPr>
          <w:p w14:paraId="4CF30B19">
            <w:pPr>
              <w:pStyle w:val="44"/>
              <w:spacing w:line="360" w:lineRule="auto"/>
              <w:ind w:left="110" w:leftChars="50" w:right="110" w:rightChars="50"/>
              <w:rPr>
                <w:rFonts w:hint="eastAsia"/>
                <w:color w:val="auto"/>
                <w:highlight w:val="none"/>
              </w:rPr>
            </w:pPr>
            <w:r>
              <w:rPr>
                <w:color w:val="auto"/>
                <w:highlight w:val="none"/>
              </w:rPr>
              <w:t>柳江</w:t>
            </w:r>
          </w:p>
        </w:tc>
        <w:tc>
          <w:tcPr>
            <w:tcW w:w="2786" w:type="dxa"/>
          </w:tcPr>
          <w:p w14:paraId="22FDA184">
            <w:pPr>
              <w:pStyle w:val="44"/>
              <w:spacing w:line="360" w:lineRule="auto"/>
              <w:ind w:left="110" w:leftChars="50" w:right="110" w:rightChars="50"/>
              <w:rPr>
                <w:rFonts w:hint="eastAsia"/>
                <w:color w:val="auto"/>
                <w:highlight w:val="none"/>
              </w:rPr>
            </w:pPr>
            <w:r>
              <w:rPr>
                <w:color w:val="auto"/>
                <w:highlight w:val="none"/>
              </w:rPr>
              <w:t>—</w:t>
            </w:r>
          </w:p>
        </w:tc>
        <w:tc>
          <w:tcPr>
            <w:tcW w:w="2764" w:type="dxa"/>
          </w:tcPr>
          <w:p w14:paraId="7729F9D9">
            <w:pPr>
              <w:pStyle w:val="44"/>
              <w:spacing w:line="360" w:lineRule="auto"/>
              <w:ind w:left="110" w:leftChars="50" w:right="110" w:rightChars="50"/>
              <w:rPr>
                <w:rFonts w:hint="eastAsia"/>
                <w:color w:val="auto"/>
                <w:highlight w:val="none"/>
              </w:rPr>
            </w:pPr>
            <w:r>
              <w:rPr>
                <w:color w:val="auto"/>
                <w:highlight w:val="none"/>
              </w:rPr>
              <w:t>80-100</w:t>
            </w:r>
          </w:p>
        </w:tc>
      </w:tr>
      <w:tr w14:paraId="4B16C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556" w:type="dxa"/>
            <w:vMerge w:val="restart"/>
          </w:tcPr>
          <w:p w14:paraId="117DAD3E">
            <w:pPr>
              <w:pStyle w:val="44"/>
              <w:spacing w:line="360" w:lineRule="auto"/>
              <w:ind w:left="110" w:leftChars="50" w:right="110" w:rightChars="50"/>
              <w:rPr>
                <w:rFonts w:hint="eastAsia"/>
                <w:color w:val="auto"/>
                <w:highlight w:val="none"/>
              </w:rPr>
            </w:pPr>
            <w:r>
              <w:rPr>
                <w:color w:val="auto"/>
                <w:highlight w:val="none"/>
              </w:rPr>
              <w:t>二级</w:t>
            </w:r>
          </w:p>
        </w:tc>
        <w:tc>
          <w:tcPr>
            <w:tcW w:w="2635" w:type="dxa"/>
            <w:vMerge w:val="restart"/>
          </w:tcPr>
          <w:p w14:paraId="1D6BD979">
            <w:pPr>
              <w:pStyle w:val="44"/>
              <w:spacing w:line="360" w:lineRule="auto"/>
              <w:ind w:left="110" w:leftChars="50" w:right="110" w:rightChars="50"/>
              <w:rPr>
                <w:rFonts w:hint="default"/>
                <w:color w:val="auto"/>
                <w:highlight w:val="none"/>
                <w:lang w:val="en-US" w:eastAsia="zh-CN"/>
              </w:rPr>
            </w:pPr>
            <w:r>
              <w:rPr>
                <w:rFonts w:hint="eastAsia"/>
                <w:color w:val="auto"/>
                <w:highlight w:val="none"/>
                <w:lang w:val="en-US" w:eastAsia="zh-CN"/>
              </w:rPr>
              <w:t>龙江、凤山河、流山河、新圩河、竹鹅溪</w:t>
            </w:r>
            <w:r>
              <w:rPr>
                <w:rFonts w:hint="eastAsia"/>
                <w:color w:val="auto"/>
                <w:highlight w:val="none"/>
                <w:lang w:eastAsia="zh-CN"/>
              </w:rPr>
              <w:t>、</w:t>
            </w:r>
            <w:r>
              <w:rPr>
                <w:rFonts w:hint="eastAsia"/>
                <w:color w:val="auto"/>
                <w:highlight w:val="none"/>
                <w:lang w:val="en-US" w:eastAsia="zh-CN"/>
              </w:rPr>
              <w:t>大桥河</w:t>
            </w:r>
            <w:r>
              <w:rPr>
                <w:rFonts w:hint="eastAsia"/>
                <w:color w:val="auto"/>
                <w:highlight w:val="none"/>
                <w:lang w:eastAsia="zh-CN"/>
              </w:rPr>
              <w:t>、</w:t>
            </w:r>
            <w:r>
              <w:rPr>
                <w:rFonts w:hint="eastAsia"/>
                <w:color w:val="auto"/>
                <w:highlight w:val="none"/>
                <w:lang w:val="en-US" w:eastAsia="zh-CN"/>
              </w:rPr>
              <w:t>石头湾</w:t>
            </w:r>
            <w:r>
              <w:rPr>
                <w:rFonts w:hint="eastAsia"/>
                <w:color w:val="auto"/>
                <w:highlight w:val="none"/>
                <w:lang w:eastAsia="zh-CN"/>
              </w:rPr>
              <w:t>水库、</w:t>
            </w:r>
            <w:r>
              <w:rPr>
                <w:rFonts w:hint="eastAsia"/>
                <w:color w:val="auto"/>
                <w:highlight w:val="none"/>
                <w:lang w:val="en-US" w:eastAsia="zh-CN"/>
              </w:rPr>
              <w:t>拉达水库</w:t>
            </w:r>
          </w:p>
        </w:tc>
        <w:tc>
          <w:tcPr>
            <w:tcW w:w="2786" w:type="dxa"/>
          </w:tcPr>
          <w:p w14:paraId="4D82C867">
            <w:pPr>
              <w:pStyle w:val="44"/>
              <w:spacing w:line="360" w:lineRule="auto"/>
              <w:ind w:left="110" w:leftChars="50" w:right="110" w:rightChars="50"/>
              <w:rPr>
                <w:rFonts w:hint="eastAsia"/>
                <w:color w:val="auto"/>
                <w:highlight w:val="none"/>
              </w:rPr>
            </w:pPr>
            <w:r>
              <w:rPr>
                <w:color w:val="auto"/>
                <w:highlight w:val="none"/>
              </w:rPr>
              <w:t>&gt;15</w:t>
            </w:r>
          </w:p>
        </w:tc>
        <w:tc>
          <w:tcPr>
            <w:tcW w:w="2764" w:type="dxa"/>
          </w:tcPr>
          <w:p w14:paraId="2D4F0244">
            <w:pPr>
              <w:pStyle w:val="44"/>
              <w:spacing w:line="360" w:lineRule="auto"/>
              <w:ind w:left="110" w:leftChars="50" w:right="110" w:rightChars="50"/>
              <w:rPr>
                <w:rFonts w:hint="eastAsia"/>
                <w:color w:val="auto"/>
                <w:highlight w:val="none"/>
              </w:rPr>
            </w:pPr>
            <w:r>
              <w:rPr>
                <w:color w:val="auto"/>
                <w:highlight w:val="none"/>
              </w:rPr>
              <w:t>50-80</w:t>
            </w:r>
          </w:p>
        </w:tc>
      </w:tr>
      <w:tr w14:paraId="4F3E9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56" w:type="dxa"/>
            <w:vMerge w:val="continue"/>
            <w:tcBorders>
              <w:top w:val="nil"/>
            </w:tcBorders>
          </w:tcPr>
          <w:p w14:paraId="439B98E0">
            <w:pPr>
              <w:spacing w:line="360" w:lineRule="auto"/>
              <w:ind w:left="110" w:leftChars="50" w:right="110" w:rightChars="50"/>
              <w:rPr>
                <w:rFonts w:hint="eastAsia"/>
                <w:color w:val="auto"/>
                <w:highlight w:val="none"/>
              </w:rPr>
            </w:pPr>
          </w:p>
        </w:tc>
        <w:tc>
          <w:tcPr>
            <w:tcW w:w="2635" w:type="dxa"/>
            <w:vMerge w:val="continue"/>
            <w:tcBorders>
              <w:top w:val="nil"/>
            </w:tcBorders>
          </w:tcPr>
          <w:p w14:paraId="43449FEB">
            <w:pPr>
              <w:spacing w:line="360" w:lineRule="auto"/>
              <w:ind w:left="110" w:leftChars="50" w:right="110" w:rightChars="50"/>
              <w:rPr>
                <w:rFonts w:hint="eastAsia"/>
                <w:color w:val="auto"/>
                <w:highlight w:val="none"/>
              </w:rPr>
            </w:pPr>
          </w:p>
        </w:tc>
        <w:tc>
          <w:tcPr>
            <w:tcW w:w="2786" w:type="dxa"/>
          </w:tcPr>
          <w:p w14:paraId="3AB7CC58">
            <w:pPr>
              <w:pStyle w:val="44"/>
              <w:spacing w:line="360" w:lineRule="auto"/>
              <w:ind w:left="110" w:leftChars="50" w:right="110" w:rightChars="50"/>
              <w:rPr>
                <w:rFonts w:hint="eastAsia"/>
                <w:color w:val="auto"/>
                <w:highlight w:val="none"/>
              </w:rPr>
            </w:pPr>
            <w:r>
              <w:rPr>
                <w:color w:val="auto"/>
                <w:highlight w:val="none"/>
              </w:rPr>
              <w:t>10-15</w:t>
            </w:r>
          </w:p>
        </w:tc>
        <w:tc>
          <w:tcPr>
            <w:tcW w:w="2764" w:type="dxa"/>
          </w:tcPr>
          <w:p w14:paraId="38271ADE">
            <w:pPr>
              <w:pStyle w:val="44"/>
              <w:spacing w:line="360" w:lineRule="auto"/>
              <w:ind w:left="110" w:leftChars="50" w:right="110" w:rightChars="50"/>
              <w:rPr>
                <w:rFonts w:hint="eastAsia"/>
                <w:color w:val="auto"/>
                <w:highlight w:val="none"/>
              </w:rPr>
            </w:pPr>
            <w:r>
              <w:rPr>
                <w:color w:val="auto"/>
                <w:highlight w:val="none"/>
              </w:rPr>
              <w:t>30-50</w:t>
            </w:r>
          </w:p>
        </w:tc>
      </w:tr>
      <w:tr w14:paraId="5D135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556" w:type="dxa"/>
            <w:vMerge w:val="restart"/>
          </w:tcPr>
          <w:p w14:paraId="2FC3AB5E">
            <w:pPr>
              <w:pStyle w:val="44"/>
              <w:spacing w:line="360" w:lineRule="auto"/>
              <w:ind w:left="110" w:leftChars="50" w:right="110" w:rightChars="50"/>
              <w:rPr>
                <w:rFonts w:hint="eastAsia"/>
                <w:color w:val="auto"/>
                <w:highlight w:val="none"/>
              </w:rPr>
            </w:pPr>
            <w:r>
              <w:rPr>
                <w:color w:val="auto"/>
                <w:highlight w:val="none"/>
              </w:rPr>
              <w:t>三级</w:t>
            </w:r>
          </w:p>
        </w:tc>
        <w:tc>
          <w:tcPr>
            <w:tcW w:w="2635" w:type="dxa"/>
            <w:vMerge w:val="restart"/>
          </w:tcPr>
          <w:p w14:paraId="0091F30B">
            <w:pPr>
              <w:pStyle w:val="44"/>
              <w:spacing w:line="360" w:lineRule="auto"/>
              <w:ind w:left="110" w:leftChars="50" w:right="110" w:rightChars="50"/>
              <w:jc w:val="left"/>
              <w:rPr>
                <w:rFonts w:hint="default"/>
                <w:color w:val="auto"/>
                <w:highlight w:val="none"/>
                <w:lang w:val="en-US" w:eastAsia="zh-CN"/>
              </w:rPr>
            </w:pPr>
            <w:r>
              <w:rPr>
                <w:rFonts w:hint="eastAsia"/>
                <w:color w:val="auto"/>
                <w:highlight w:val="none"/>
                <w:lang w:val="en-US" w:eastAsia="zh-CN"/>
              </w:rPr>
              <w:t>其他小型支流、水库、水塘</w:t>
            </w:r>
          </w:p>
        </w:tc>
        <w:tc>
          <w:tcPr>
            <w:tcW w:w="2786" w:type="dxa"/>
          </w:tcPr>
          <w:p w14:paraId="7A25A1D1">
            <w:pPr>
              <w:pStyle w:val="44"/>
              <w:spacing w:line="360" w:lineRule="auto"/>
              <w:ind w:left="110" w:leftChars="50" w:right="110" w:rightChars="50"/>
              <w:rPr>
                <w:rFonts w:hint="eastAsia"/>
                <w:color w:val="auto"/>
                <w:highlight w:val="none"/>
              </w:rPr>
            </w:pPr>
            <w:r>
              <w:rPr>
                <w:color w:val="auto"/>
                <w:highlight w:val="none"/>
              </w:rPr>
              <w:t>8-10</w:t>
            </w:r>
          </w:p>
        </w:tc>
        <w:tc>
          <w:tcPr>
            <w:tcW w:w="2764" w:type="dxa"/>
          </w:tcPr>
          <w:p w14:paraId="10BDD14E">
            <w:pPr>
              <w:pStyle w:val="44"/>
              <w:spacing w:line="360" w:lineRule="auto"/>
              <w:ind w:left="110" w:leftChars="50" w:right="110" w:rightChars="50"/>
              <w:rPr>
                <w:rFonts w:hint="eastAsia"/>
                <w:color w:val="auto"/>
                <w:highlight w:val="none"/>
              </w:rPr>
            </w:pPr>
            <w:r>
              <w:rPr>
                <w:color w:val="auto"/>
                <w:highlight w:val="none"/>
              </w:rPr>
              <w:t>15-30</w:t>
            </w:r>
          </w:p>
        </w:tc>
      </w:tr>
      <w:tr w14:paraId="6DAFD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56" w:type="dxa"/>
            <w:vMerge w:val="continue"/>
            <w:tcBorders>
              <w:top w:val="nil"/>
            </w:tcBorders>
          </w:tcPr>
          <w:p w14:paraId="4B1B35B2">
            <w:pPr>
              <w:spacing w:line="360" w:lineRule="auto"/>
              <w:ind w:left="110" w:leftChars="50" w:right="110" w:rightChars="50"/>
              <w:rPr>
                <w:rFonts w:hint="eastAsia"/>
                <w:color w:val="auto"/>
                <w:highlight w:val="none"/>
              </w:rPr>
            </w:pPr>
          </w:p>
        </w:tc>
        <w:tc>
          <w:tcPr>
            <w:tcW w:w="2635" w:type="dxa"/>
            <w:vMerge w:val="continue"/>
            <w:tcBorders>
              <w:top w:val="nil"/>
            </w:tcBorders>
          </w:tcPr>
          <w:p w14:paraId="6DE7D849">
            <w:pPr>
              <w:spacing w:line="360" w:lineRule="auto"/>
              <w:ind w:left="110" w:leftChars="50" w:right="110" w:rightChars="50"/>
              <w:rPr>
                <w:rFonts w:hint="eastAsia"/>
                <w:color w:val="auto"/>
                <w:highlight w:val="none"/>
              </w:rPr>
            </w:pPr>
          </w:p>
        </w:tc>
        <w:tc>
          <w:tcPr>
            <w:tcW w:w="2786" w:type="dxa"/>
          </w:tcPr>
          <w:p w14:paraId="72615490">
            <w:pPr>
              <w:pStyle w:val="44"/>
              <w:spacing w:line="360" w:lineRule="auto"/>
              <w:ind w:left="110" w:leftChars="50" w:right="110" w:rightChars="50"/>
              <w:rPr>
                <w:rFonts w:hint="eastAsia"/>
                <w:color w:val="auto"/>
                <w:highlight w:val="none"/>
              </w:rPr>
            </w:pPr>
            <w:r>
              <w:rPr>
                <w:color w:val="auto"/>
                <w:highlight w:val="none"/>
              </w:rPr>
              <w:t>5-8</w:t>
            </w:r>
          </w:p>
        </w:tc>
        <w:tc>
          <w:tcPr>
            <w:tcW w:w="2764" w:type="dxa"/>
          </w:tcPr>
          <w:p w14:paraId="1AF615D2">
            <w:pPr>
              <w:pStyle w:val="44"/>
              <w:spacing w:line="360" w:lineRule="auto"/>
              <w:ind w:left="110" w:leftChars="50" w:right="110" w:rightChars="50"/>
              <w:rPr>
                <w:rFonts w:hint="eastAsia"/>
                <w:color w:val="auto"/>
                <w:highlight w:val="none"/>
              </w:rPr>
            </w:pPr>
            <w:r>
              <w:rPr>
                <w:color w:val="auto"/>
                <w:highlight w:val="none"/>
              </w:rPr>
              <w:t>10-15</w:t>
            </w:r>
          </w:p>
        </w:tc>
      </w:tr>
      <w:tr w14:paraId="7C79F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9741" w:type="dxa"/>
            <w:gridSpan w:val="4"/>
          </w:tcPr>
          <w:p w14:paraId="0DBF3C53">
            <w:pPr>
              <w:pStyle w:val="44"/>
              <w:spacing w:line="360" w:lineRule="auto"/>
              <w:ind w:left="110" w:leftChars="50" w:right="110" w:rightChars="50"/>
              <w:jc w:val="left"/>
              <w:rPr>
                <w:rFonts w:hint="eastAsia"/>
                <w:color w:val="auto"/>
                <w:highlight w:val="none"/>
                <w:lang w:eastAsia="zh-CN"/>
              </w:rPr>
            </w:pPr>
            <w:r>
              <w:rPr>
                <w:color w:val="auto"/>
                <w:spacing w:val="-4"/>
                <w:highlight w:val="none"/>
                <w:lang w:eastAsia="zh-CN"/>
              </w:rPr>
              <w:t>水生态协调建设区划定，一级保护河道原则上以沿水域线外延</w:t>
            </w:r>
            <w:r>
              <w:rPr>
                <w:color w:val="auto"/>
                <w:highlight w:val="none"/>
                <w:lang w:eastAsia="zh-CN"/>
              </w:rPr>
              <w:t>200</w:t>
            </w:r>
            <w:r>
              <w:rPr>
                <w:color w:val="auto"/>
                <w:spacing w:val="-7"/>
                <w:highlight w:val="none"/>
                <w:lang w:eastAsia="zh-CN"/>
              </w:rPr>
              <w:t>米及水域宽度的</w:t>
            </w:r>
            <w:r>
              <w:rPr>
                <w:color w:val="auto"/>
                <w:highlight w:val="none"/>
                <w:lang w:eastAsia="zh-CN"/>
              </w:rPr>
              <w:t>1/2</w:t>
            </w:r>
            <w:r>
              <w:rPr>
                <w:color w:val="auto"/>
                <w:spacing w:val="-3"/>
                <w:highlight w:val="none"/>
                <w:lang w:eastAsia="zh-CN"/>
              </w:rPr>
              <w:t>倍叠加的区域为协</w:t>
            </w:r>
            <w:r>
              <w:rPr>
                <w:color w:val="auto"/>
                <w:spacing w:val="-10"/>
                <w:highlight w:val="none"/>
                <w:lang w:eastAsia="zh-CN"/>
              </w:rPr>
              <w:t>调建设范围；二级保护河道原则上以沿水域线外延</w:t>
            </w:r>
            <w:r>
              <w:rPr>
                <w:color w:val="auto"/>
                <w:highlight w:val="none"/>
                <w:lang w:eastAsia="zh-CN"/>
              </w:rPr>
              <w:t>100</w:t>
            </w:r>
            <w:r>
              <w:rPr>
                <w:color w:val="auto"/>
                <w:spacing w:val="-9"/>
                <w:highlight w:val="none"/>
                <w:lang w:eastAsia="zh-CN"/>
              </w:rPr>
              <w:t>米及水域宽度的</w:t>
            </w:r>
            <w:r>
              <w:rPr>
                <w:color w:val="auto"/>
                <w:highlight w:val="none"/>
                <w:lang w:eastAsia="zh-CN"/>
              </w:rPr>
              <w:t>1/2</w:t>
            </w:r>
            <w:r>
              <w:rPr>
                <w:color w:val="auto"/>
                <w:spacing w:val="-3"/>
                <w:highlight w:val="none"/>
                <w:lang w:eastAsia="zh-CN"/>
              </w:rPr>
              <w:t>倍叠加的区域为协调建设范围；</w:t>
            </w:r>
            <w:r>
              <w:rPr>
                <w:color w:val="auto"/>
                <w:spacing w:val="-6"/>
                <w:highlight w:val="none"/>
                <w:lang w:eastAsia="zh-CN"/>
              </w:rPr>
              <w:t>三级保护河道原则上以沿水域线外延</w:t>
            </w:r>
            <w:r>
              <w:rPr>
                <w:color w:val="auto"/>
                <w:highlight w:val="none"/>
                <w:lang w:eastAsia="zh-CN"/>
              </w:rPr>
              <w:t>30-50</w:t>
            </w:r>
            <w:r>
              <w:rPr>
                <w:color w:val="auto"/>
                <w:spacing w:val="-9"/>
                <w:highlight w:val="none"/>
                <w:lang w:eastAsia="zh-CN"/>
              </w:rPr>
              <w:t xml:space="preserve">米及水域宽度的 </w:t>
            </w:r>
            <w:r>
              <w:rPr>
                <w:color w:val="auto"/>
                <w:highlight w:val="none"/>
                <w:lang w:eastAsia="zh-CN"/>
              </w:rPr>
              <w:t>1/2</w:t>
            </w:r>
            <w:r>
              <w:rPr>
                <w:color w:val="auto"/>
                <w:spacing w:val="-3"/>
                <w:highlight w:val="none"/>
                <w:lang w:eastAsia="zh-CN"/>
              </w:rPr>
              <w:t>倍叠加的区域为协调建设范围。</w:t>
            </w:r>
          </w:p>
        </w:tc>
      </w:tr>
    </w:tbl>
    <w:p w14:paraId="6E4F351F">
      <w:pPr>
        <w:spacing w:line="360" w:lineRule="auto"/>
        <w:ind w:left="110" w:leftChars="50" w:right="110" w:rightChars="50" w:firstLine="440" w:firstLineChars="200"/>
        <w:rPr>
          <w:rFonts w:hint="eastAsia"/>
          <w:color w:val="auto"/>
          <w:highlight w:val="none"/>
          <w:lang w:eastAsia="zh-CN"/>
        </w:rPr>
      </w:pPr>
      <w:r>
        <w:rPr>
          <w:color w:val="auto"/>
          <w:highlight w:val="none"/>
          <w:lang w:eastAsia="zh-CN"/>
        </w:rPr>
        <w:t>注：1、水生态核心保护区为禁止开发区，应严格遵守相关条例规定进行保护。</w:t>
      </w:r>
    </w:p>
    <w:p w14:paraId="6FB5D9E0">
      <w:pPr>
        <w:spacing w:line="360" w:lineRule="auto"/>
        <w:ind w:left="110" w:leftChars="50" w:right="110" w:rightChars="50" w:firstLine="440" w:firstLineChars="200"/>
        <w:rPr>
          <w:rFonts w:hint="eastAsia"/>
          <w:color w:val="auto"/>
          <w:highlight w:val="none"/>
          <w:lang w:eastAsia="zh-CN"/>
        </w:rPr>
      </w:pPr>
      <w:r>
        <w:rPr>
          <w:rFonts w:hint="eastAsia"/>
          <w:color w:val="auto"/>
          <w:highlight w:val="none"/>
          <w:lang w:eastAsia="zh-CN"/>
        </w:rPr>
        <w:t>2.</w:t>
      </w:r>
      <w:r>
        <w:rPr>
          <w:color w:val="auto"/>
          <w:highlight w:val="none"/>
          <w:lang w:eastAsia="zh-CN"/>
        </w:rPr>
        <w:t>水生态控制保护区内建筑一般不超过 24 米且临水连续长度不超过 100 米。</w:t>
      </w:r>
    </w:p>
    <w:p w14:paraId="2E744AB5">
      <w:pPr>
        <w:spacing w:line="360" w:lineRule="auto"/>
        <w:ind w:left="110" w:leftChars="50" w:right="110" w:rightChars="50" w:firstLine="440" w:firstLineChars="200"/>
        <w:rPr>
          <w:rFonts w:hint="eastAsia"/>
          <w:color w:val="auto"/>
          <w:highlight w:val="none"/>
          <w:lang w:eastAsia="zh-CN"/>
        </w:rPr>
      </w:pPr>
      <w:r>
        <w:rPr>
          <w:rFonts w:hint="eastAsia"/>
          <w:color w:val="auto"/>
          <w:highlight w:val="none"/>
          <w:lang w:eastAsia="zh-CN"/>
        </w:rPr>
        <w:t>3.</w:t>
      </w:r>
      <w:r>
        <w:rPr>
          <w:color w:val="auto"/>
          <w:highlight w:val="none"/>
          <w:lang w:eastAsia="zh-CN"/>
        </w:rPr>
        <w:t>水生态协调建设区内不应形成连续的界面，宜形成“前疏后密、疏密有致”的建筑格局。</w:t>
      </w:r>
    </w:p>
    <w:p w14:paraId="3E62BD9F">
      <w:pPr>
        <w:pStyle w:val="11"/>
        <w:spacing w:line="360" w:lineRule="auto"/>
        <w:ind w:left="110" w:leftChars="50" w:right="110" w:rightChars="50" w:firstLine="560" w:firstLineChars="200"/>
        <w:jc w:val="both"/>
        <w:rPr>
          <w:rFonts w:hint="eastAsia"/>
          <w:color w:val="auto"/>
          <w:highlight w:val="none"/>
          <w:lang w:eastAsia="zh-CN"/>
        </w:rPr>
      </w:pPr>
      <w:r>
        <w:rPr>
          <w:rFonts w:hint="eastAsia" w:ascii="微软雅黑" w:hAnsi="微软雅黑" w:eastAsia="微软雅黑"/>
          <w:b/>
          <w:color w:val="auto"/>
          <w:highlight w:val="none"/>
          <w:lang w:eastAsia="zh-CN"/>
        </w:rPr>
        <w:t>第八十条</w:t>
      </w:r>
      <w:r>
        <w:rPr>
          <w:rFonts w:hint="eastAsia"/>
          <w:b/>
          <w:color w:val="auto"/>
          <w:spacing w:val="12"/>
          <w:highlight w:val="none"/>
          <w:lang w:eastAsia="zh-CN"/>
        </w:rPr>
        <w:t xml:space="preserve"> </w:t>
      </w:r>
      <w:r>
        <w:rPr>
          <w:rFonts w:hint="eastAsia"/>
          <w:color w:val="auto"/>
          <w:spacing w:val="-15"/>
          <w:highlight w:val="none"/>
          <w:lang w:eastAsia="zh-CN"/>
        </w:rPr>
        <w:t>加强滨水岸线乡村建设指引，严格保护自然水系岸线，不得随意侵占河岸空间。乡村建设应体现滨水空间的“公共性”，滨水码头、平台、慢行步道等滨水设施建设应符合安全、连续和可达性的要求，便于村民休闲活动。（柳南区滨水岸线乡村建设指引详见附表九</w:t>
      </w:r>
      <w:r>
        <w:rPr>
          <w:color w:val="auto"/>
          <w:highlight w:val="none"/>
          <w:lang w:eastAsia="zh-CN"/>
        </w:rPr>
        <w:t>）</w:t>
      </w:r>
    </w:p>
    <w:p w14:paraId="6D115B9E">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第八十</w:t>
      </w:r>
      <w:r>
        <w:rPr>
          <w:rFonts w:hint="eastAsia" w:ascii="微软雅黑" w:hAnsi="微软雅黑" w:eastAsia="微软雅黑"/>
          <w:b/>
          <w:color w:val="auto"/>
          <w:highlight w:val="none"/>
          <w:lang w:val="en-US" w:eastAsia="zh-CN"/>
        </w:rPr>
        <w:t>一</w:t>
      </w:r>
      <w:r>
        <w:rPr>
          <w:rFonts w:hint="eastAsia" w:ascii="微软雅黑" w:hAnsi="微软雅黑" w:eastAsia="微软雅黑"/>
          <w:b/>
          <w:color w:val="auto"/>
          <w:highlight w:val="none"/>
          <w:lang w:eastAsia="zh-CN"/>
        </w:rPr>
        <w:t>条</w:t>
      </w:r>
      <w:r>
        <w:rPr>
          <w:rFonts w:hint="eastAsia"/>
          <w:b/>
          <w:color w:val="auto"/>
          <w:highlight w:val="none"/>
          <w:lang w:eastAsia="zh-CN"/>
        </w:rPr>
        <w:t xml:space="preserve"> </w:t>
      </w:r>
      <w:r>
        <w:rPr>
          <w:color w:val="auto"/>
          <w:highlight w:val="none"/>
          <w:lang w:eastAsia="zh-CN"/>
        </w:rPr>
        <w:t>加强高速铁路、高速公路和国道、省道等沿线区域乡村地区的人</w:t>
      </w:r>
      <w:r>
        <w:rPr>
          <w:rFonts w:hint="eastAsia"/>
          <w:color w:val="auto"/>
          <w:highlight w:val="none"/>
          <w:lang w:eastAsia="zh-CN"/>
        </w:rPr>
        <w:t>居环境整治，乡村风貌提升改造应彰显桂风壮韵</w:t>
      </w:r>
      <w:r>
        <w:rPr>
          <w:color w:val="auto"/>
          <w:highlight w:val="none"/>
          <w:lang w:eastAsia="zh-CN"/>
        </w:rPr>
        <w:t>。</w:t>
      </w:r>
    </w:p>
    <w:p w14:paraId="4DF4BAF4">
      <w:pPr>
        <w:pStyle w:val="11"/>
        <w:tabs>
          <w:tab w:val="left" w:pos="2200"/>
        </w:tabs>
        <w:spacing w:line="360" w:lineRule="auto"/>
        <w:ind w:left="110" w:leftChars="50" w:right="110" w:rightChars="50" w:firstLine="560" w:firstLineChars="200"/>
        <w:rPr>
          <w:color w:val="auto"/>
          <w:highlight w:val="none"/>
          <w:lang w:eastAsia="zh-CN"/>
        </w:rPr>
      </w:pPr>
      <w:r>
        <w:rPr>
          <w:rFonts w:hint="eastAsia" w:ascii="微软雅黑" w:hAnsi="微软雅黑" w:eastAsia="微软雅黑"/>
          <w:b/>
          <w:color w:val="auto"/>
          <w:highlight w:val="none"/>
          <w:lang w:eastAsia="zh-CN"/>
        </w:rPr>
        <w:t>第八十</w:t>
      </w:r>
      <w:r>
        <w:rPr>
          <w:rFonts w:hint="eastAsia" w:ascii="微软雅黑" w:hAnsi="微软雅黑" w:eastAsia="微软雅黑"/>
          <w:b/>
          <w:color w:val="auto"/>
          <w:highlight w:val="none"/>
          <w:lang w:val="en-US" w:eastAsia="zh-CN"/>
        </w:rPr>
        <w:t>二</w:t>
      </w:r>
      <w:r>
        <w:rPr>
          <w:rFonts w:hint="eastAsia" w:ascii="微软雅黑" w:hAnsi="微软雅黑" w:eastAsia="微软雅黑"/>
          <w:b/>
          <w:color w:val="auto"/>
          <w:highlight w:val="none"/>
          <w:lang w:eastAsia="zh-CN"/>
        </w:rPr>
        <w:t>条</w:t>
      </w:r>
      <w:r>
        <w:rPr>
          <w:rFonts w:hint="eastAsia"/>
          <w:b/>
          <w:color w:val="auto"/>
          <w:spacing w:val="-3"/>
          <w:highlight w:val="none"/>
          <w:lang w:eastAsia="zh-CN"/>
        </w:rPr>
        <w:t xml:space="preserve"> </w:t>
      </w:r>
      <w:r>
        <w:rPr>
          <w:rFonts w:hint="eastAsia"/>
          <w:color w:val="auto"/>
          <w:highlight w:val="none"/>
          <w:lang w:eastAsia="zh-CN"/>
        </w:rPr>
        <w:t>乡村建设不得影响区域交通的行车通达性、安全性等要求，禁止修建或张挂影响交通行车视线的建（构）筑物或横幅等</w:t>
      </w:r>
      <w:r>
        <w:rPr>
          <w:color w:val="auto"/>
          <w:highlight w:val="none"/>
          <w:lang w:eastAsia="zh-CN"/>
        </w:rPr>
        <w:t>。</w:t>
      </w:r>
    </w:p>
    <w:p w14:paraId="0E934F16">
      <w:pPr>
        <w:pStyle w:val="5"/>
        <w:keepNext w:val="0"/>
        <w:keepLines w:val="0"/>
        <w:spacing w:before="0" w:after="0"/>
        <w:ind w:right="296"/>
        <w:jc w:val="center"/>
        <w:rPr>
          <w:rFonts w:hint="eastAsia" w:ascii="微软雅黑" w:hAnsi="微软雅黑" w:eastAsia="微软雅黑" w:cs="微软雅黑"/>
          <w:b/>
          <w:bCs/>
          <w:color w:val="auto"/>
          <w:sz w:val="30"/>
          <w:szCs w:val="30"/>
          <w:highlight w:val="none"/>
          <w:lang w:eastAsia="zh-CN"/>
        </w:rPr>
      </w:pPr>
      <w:bookmarkStart w:id="39" w:name="_Hlk214542675"/>
      <w:r>
        <w:rPr>
          <w:rFonts w:ascii="微软雅黑" w:hAnsi="微软雅黑" w:eastAsia="微软雅黑" w:cs="微软雅黑"/>
          <w:b/>
          <w:bCs/>
          <w:color w:val="auto"/>
          <w:sz w:val="30"/>
          <w:szCs w:val="30"/>
          <w:highlight w:val="none"/>
          <w:lang w:eastAsia="zh-CN"/>
        </w:rPr>
        <w:t>第</w:t>
      </w:r>
      <w:r>
        <w:rPr>
          <w:rFonts w:hint="eastAsia" w:ascii="微软雅黑" w:hAnsi="微软雅黑" w:eastAsia="微软雅黑" w:cs="微软雅黑"/>
          <w:b/>
          <w:bCs/>
          <w:color w:val="auto"/>
          <w:sz w:val="30"/>
          <w:szCs w:val="30"/>
          <w:highlight w:val="none"/>
          <w:lang w:eastAsia="zh-CN"/>
        </w:rPr>
        <w:t>五</w:t>
      </w:r>
      <w:r>
        <w:rPr>
          <w:rFonts w:ascii="微软雅黑" w:hAnsi="微软雅黑" w:eastAsia="微软雅黑" w:cs="微软雅黑"/>
          <w:b/>
          <w:bCs/>
          <w:color w:val="auto"/>
          <w:sz w:val="30"/>
          <w:szCs w:val="30"/>
          <w:highlight w:val="none"/>
          <w:lang w:eastAsia="zh-CN"/>
        </w:rPr>
        <w:t>节</w:t>
      </w:r>
      <w:r>
        <w:rPr>
          <w:rFonts w:hint="eastAsia" w:ascii="微软雅黑" w:hAnsi="微软雅黑" w:eastAsia="微软雅黑" w:cs="微软雅黑"/>
          <w:b/>
          <w:bCs/>
          <w:color w:val="auto"/>
          <w:sz w:val="30"/>
          <w:szCs w:val="30"/>
          <w:highlight w:val="none"/>
          <w:lang w:eastAsia="zh-CN"/>
        </w:rPr>
        <w:t xml:space="preserve"> </w:t>
      </w:r>
      <w:bookmarkStart w:id="40" w:name="_Hlk214373960"/>
      <w:r>
        <w:rPr>
          <w:rFonts w:ascii="微软雅黑" w:hAnsi="微软雅黑" w:eastAsia="微软雅黑" w:cs="微软雅黑"/>
          <w:b/>
          <w:bCs/>
          <w:color w:val="auto"/>
          <w:sz w:val="30"/>
          <w:szCs w:val="30"/>
          <w:highlight w:val="none"/>
          <w:lang w:eastAsia="zh-CN"/>
        </w:rPr>
        <w:t>生态修复及国土空间整治</w:t>
      </w:r>
      <w:bookmarkEnd w:id="40"/>
    </w:p>
    <w:p w14:paraId="6417DFC9">
      <w:pPr>
        <w:spacing w:line="360" w:lineRule="auto"/>
        <w:ind w:firstLine="560" w:firstLineChars="200"/>
        <w:jc w:val="both"/>
        <w:rPr>
          <w:rFonts w:hint="eastAsia"/>
          <w:color w:val="auto"/>
          <w:sz w:val="28"/>
          <w:szCs w:val="28"/>
          <w:highlight w:val="none"/>
          <w:lang w:eastAsia="zh-CN"/>
        </w:rPr>
      </w:pPr>
      <w:bookmarkStart w:id="41" w:name="_Toc214459434"/>
      <w:r>
        <w:rPr>
          <w:rFonts w:hint="eastAsia" w:ascii="微软雅黑" w:hAnsi="微软雅黑" w:eastAsia="微软雅黑"/>
          <w:b/>
          <w:bCs/>
          <w:color w:val="auto"/>
          <w:sz w:val="28"/>
          <w:szCs w:val="28"/>
          <w:highlight w:val="none"/>
          <w:lang w:eastAsia="zh-CN"/>
        </w:rPr>
        <w:t>第八十</w:t>
      </w:r>
      <w:r>
        <w:rPr>
          <w:rFonts w:hint="eastAsia" w:ascii="微软雅黑" w:hAnsi="微软雅黑" w:eastAsia="微软雅黑"/>
          <w:b/>
          <w:bCs/>
          <w:color w:val="auto"/>
          <w:sz w:val="28"/>
          <w:szCs w:val="28"/>
          <w:highlight w:val="none"/>
          <w:lang w:val="en-US" w:eastAsia="zh-CN"/>
        </w:rPr>
        <w:t>三</w:t>
      </w:r>
      <w:r>
        <w:rPr>
          <w:rFonts w:hint="eastAsia" w:ascii="微软雅黑" w:hAnsi="微软雅黑" w:eastAsia="微软雅黑"/>
          <w:b/>
          <w:bCs/>
          <w:color w:val="auto"/>
          <w:sz w:val="28"/>
          <w:szCs w:val="28"/>
          <w:highlight w:val="none"/>
          <w:lang w:eastAsia="zh-CN"/>
        </w:rPr>
        <w:t>条</w:t>
      </w:r>
      <w:r>
        <w:rPr>
          <w:rFonts w:hint="eastAsia"/>
          <w:color w:val="auto"/>
          <w:sz w:val="28"/>
          <w:szCs w:val="28"/>
          <w:highlight w:val="none"/>
          <w:lang w:eastAsia="zh-CN"/>
        </w:rPr>
        <w:t xml:space="preserve"> 整治与修复目标</w:t>
      </w:r>
      <w:bookmarkEnd w:id="41"/>
    </w:p>
    <w:p w14:paraId="02F0FC3D">
      <w:pPr>
        <w:spacing w:line="360" w:lineRule="auto"/>
        <w:ind w:firstLine="560" w:firstLineChars="200"/>
        <w:jc w:val="both"/>
        <w:rPr>
          <w:rFonts w:hint="eastAsia"/>
          <w:color w:val="auto"/>
          <w:sz w:val="28"/>
          <w:szCs w:val="28"/>
          <w:highlight w:val="none"/>
          <w:lang w:eastAsia="zh-CN"/>
        </w:rPr>
      </w:pPr>
      <w:r>
        <w:rPr>
          <w:rFonts w:hint="eastAsia"/>
          <w:color w:val="auto"/>
          <w:sz w:val="28"/>
          <w:szCs w:val="28"/>
          <w:highlight w:val="none"/>
          <w:lang w:eastAsia="zh-CN"/>
        </w:rPr>
        <w:t>以实施国土空间治理与生态修复为重要抓手，着力解决柳南区的土地资源利用低效化、空间布局无序化、生态质量退化等综合性问题，提升国土空间开发利用与资源环境承载能力之间的匹配程度。以国土空间问题治理、乡村生态环境治理修复与景观提升为主导，通过在村域范围内实施国土空间治理与生态修复，构建“山青、水秀、田优、村美、景丽”的村域空间发展格局。</w:t>
      </w:r>
    </w:p>
    <w:p w14:paraId="720957F2">
      <w:pPr>
        <w:spacing w:line="360" w:lineRule="auto"/>
        <w:ind w:firstLine="560" w:firstLineChars="200"/>
        <w:jc w:val="both"/>
        <w:rPr>
          <w:rFonts w:hint="eastAsia" w:ascii="微软雅黑" w:hAnsi="微软雅黑" w:eastAsia="微软雅黑"/>
          <w:b/>
          <w:bCs/>
          <w:color w:val="auto"/>
          <w:sz w:val="28"/>
          <w:szCs w:val="28"/>
          <w:highlight w:val="none"/>
          <w:lang w:eastAsia="zh-CN"/>
        </w:rPr>
      </w:pPr>
      <w:bookmarkStart w:id="42" w:name="_Toc214459435"/>
      <w:r>
        <w:rPr>
          <w:rFonts w:hint="eastAsia" w:ascii="微软雅黑" w:hAnsi="微软雅黑" w:eastAsia="微软雅黑"/>
          <w:b/>
          <w:bCs/>
          <w:color w:val="auto"/>
          <w:sz w:val="28"/>
          <w:szCs w:val="28"/>
          <w:highlight w:val="none"/>
          <w:lang w:eastAsia="zh-CN"/>
        </w:rPr>
        <w:t>第八十</w:t>
      </w:r>
      <w:r>
        <w:rPr>
          <w:rFonts w:hint="eastAsia" w:ascii="微软雅黑" w:hAnsi="微软雅黑" w:eastAsia="微软雅黑"/>
          <w:b/>
          <w:bCs/>
          <w:color w:val="auto"/>
          <w:sz w:val="28"/>
          <w:szCs w:val="28"/>
          <w:highlight w:val="none"/>
          <w:lang w:val="en-US" w:eastAsia="zh-CN"/>
        </w:rPr>
        <w:t>四</w:t>
      </w:r>
      <w:r>
        <w:rPr>
          <w:rFonts w:hint="eastAsia" w:ascii="微软雅黑" w:hAnsi="微软雅黑" w:eastAsia="微软雅黑"/>
          <w:b/>
          <w:bCs/>
          <w:color w:val="auto"/>
          <w:sz w:val="28"/>
          <w:szCs w:val="28"/>
          <w:highlight w:val="none"/>
          <w:lang w:eastAsia="zh-CN"/>
        </w:rPr>
        <w:t xml:space="preserve">条 </w:t>
      </w:r>
      <w:bookmarkEnd w:id="42"/>
      <w:r>
        <w:rPr>
          <w:rFonts w:hint="eastAsia"/>
          <w:color w:val="auto"/>
          <w:sz w:val="28"/>
          <w:szCs w:val="28"/>
          <w:highlight w:val="none"/>
          <w:lang w:val="en-US" w:eastAsia="zh-CN"/>
        </w:rPr>
        <w:t>根</w:t>
      </w:r>
      <w:r>
        <w:rPr>
          <w:rFonts w:hint="eastAsia"/>
          <w:color w:val="auto"/>
          <w:sz w:val="28"/>
          <w:szCs w:val="28"/>
          <w:highlight w:val="none"/>
          <w:lang w:eastAsia="zh-CN"/>
        </w:rPr>
        <w:t>据各村各类型的潜力分布情况，统筹安排农用地整理类、建设用地整理类和生态修复类项目。生态修复及国土空间整治内容，如下：</w:t>
      </w:r>
    </w:p>
    <w:p w14:paraId="6B7FCA10">
      <w:pPr>
        <w:spacing w:line="360" w:lineRule="auto"/>
        <w:ind w:firstLine="560" w:firstLineChars="200"/>
        <w:jc w:val="both"/>
        <w:rPr>
          <w:rFonts w:hint="eastAsia"/>
          <w:color w:val="auto"/>
          <w:sz w:val="28"/>
          <w:szCs w:val="28"/>
          <w:highlight w:val="none"/>
          <w:lang w:eastAsia="zh-CN"/>
        </w:rPr>
      </w:pPr>
      <w:r>
        <w:rPr>
          <w:rFonts w:hint="eastAsia"/>
          <w:color w:val="auto"/>
          <w:sz w:val="28"/>
          <w:szCs w:val="28"/>
          <w:highlight w:val="none"/>
          <w:lang w:eastAsia="zh-CN"/>
        </w:rPr>
        <w:t>（1）开展农用地整理，提高耕地利用率。</w:t>
      </w:r>
    </w:p>
    <w:p w14:paraId="2077AEFE">
      <w:pPr>
        <w:spacing w:line="360" w:lineRule="auto"/>
        <w:ind w:firstLine="560" w:firstLineChars="200"/>
        <w:jc w:val="both"/>
        <w:rPr>
          <w:rFonts w:hint="eastAsia"/>
          <w:color w:val="auto"/>
          <w:sz w:val="28"/>
          <w:szCs w:val="28"/>
          <w:highlight w:val="none"/>
          <w:lang w:eastAsia="zh-CN"/>
        </w:rPr>
      </w:pPr>
      <w:r>
        <w:rPr>
          <w:rFonts w:hint="eastAsia"/>
          <w:color w:val="auto"/>
          <w:sz w:val="28"/>
          <w:szCs w:val="28"/>
          <w:highlight w:val="none"/>
          <w:lang w:eastAsia="zh-CN"/>
        </w:rPr>
        <w:t>通过实施高标准农田建设、耕地提质改造（旱改水）、宜耕农用地整理和宜耕未利用地整理这四类农用地整理项目，改善农业基础设施条件，提高农用地质量，为产业项目落地提供良好农业生产条件。优化耕地多功能布局，有效引导耕地集中连片。加强道路、沟渠、防护林的综合整治，推进土地平整等工程措施，增加有效耕地面积，提高柳南区耕地利用率。</w:t>
      </w:r>
    </w:p>
    <w:p w14:paraId="2A80FE65">
      <w:pPr>
        <w:spacing w:line="360" w:lineRule="auto"/>
        <w:ind w:firstLine="560" w:firstLineChars="200"/>
        <w:jc w:val="both"/>
        <w:rPr>
          <w:rFonts w:hint="eastAsia"/>
          <w:color w:val="auto"/>
          <w:sz w:val="28"/>
          <w:szCs w:val="28"/>
          <w:highlight w:val="none"/>
          <w:lang w:eastAsia="zh-CN"/>
        </w:rPr>
      </w:pPr>
      <w:r>
        <w:rPr>
          <w:rFonts w:hint="eastAsia"/>
          <w:color w:val="auto"/>
          <w:sz w:val="28"/>
          <w:szCs w:val="28"/>
          <w:highlight w:val="none"/>
          <w:lang w:eastAsia="zh-CN"/>
        </w:rPr>
        <w:t>（2）实施建设用地整理，提高土地利用效率。</w:t>
      </w:r>
    </w:p>
    <w:p w14:paraId="31AC4468">
      <w:pPr>
        <w:spacing w:line="360" w:lineRule="auto"/>
        <w:ind w:firstLine="560" w:firstLineChars="200"/>
        <w:jc w:val="both"/>
        <w:rPr>
          <w:rFonts w:hint="eastAsia"/>
          <w:color w:val="auto"/>
          <w:sz w:val="28"/>
          <w:szCs w:val="28"/>
          <w:highlight w:val="none"/>
          <w:lang w:eastAsia="zh-CN"/>
        </w:rPr>
      </w:pPr>
      <w:r>
        <w:rPr>
          <w:rFonts w:hint="eastAsia"/>
          <w:color w:val="auto"/>
          <w:sz w:val="28"/>
          <w:szCs w:val="28"/>
          <w:highlight w:val="none"/>
          <w:lang w:eastAsia="zh-CN"/>
        </w:rPr>
        <w:t>统筹安排建设用地整理，以闲置房屋和空闲地整治改造为重点，推进农村建设用地整理，加快新农村规划和建设。</w:t>
      </w:r>
    </w:p>
    <w:p w14:paraId="38C909D9">
      <w:pPr>
        <w:spacing w:line="360" w:lineRule="auto"/>
        <w:ind w:firstLine="560" w:firstLineChars="200"/>
        <w:jc w:val="both"/>
        <w:rPr>
          <w:rFonts w:hint="eastAsia"/>
          <w:color w:val="auto"/>
          <w:sz w:val="28"/>
          <w:szCs w:val="28"/>
          <w:highlight w:val="none"/>
          <w:lang w:eastAsia="zh-CN"/>
        </w:rPr>
      </w:pPr>
      <w:r>
        <w:rPr>
          <w:rFonts w:hint="eastAsia"/>
          <w:color w:val="auto"/>
          <w:sz w:val="28"/>
          <w:szCs w:val="28"/>
          <w:highlight w:val="none"/>
          <w:lang w:eastAsia="zh-CN"/>
        </w:rPr>
        <w:t>（3）生态系统整体修复与功能综合提升。</w:t>
      </w:r>
    </w:p>
    <w:p w14:paraId="209A805A">
      <w:pPr>
        <w:spacing w:line="360" w:lineRule="auto"/>
        <w:ind w:firstLine="560" w:firstLineChars="200"/>
        <w:jc w:val="both"/>
        <w:rPr>
          <w:rFonts w:hint="eastAsia"/>
          <w:color w:val="auto"/>
          <w:sz w:val="28"/>
          <w:szCs w:val="28"/>
          <w:highlight w:val="none"/>
          <w:lang w:eastAsia="zh-CN"/>
        </w:rPr>
      </w:pPr>
      <w:r>
        <w:rPr>
          <w:rFonts w:hint="eastAsia"/>
          <w:color w:val="auto"/>
          <w:sz w:val="28"/>
          <w:szCs w:val="28"/>
          <w:highlight w:val="none"/>
          <w:lang w:eastAsia="zh-CN"/>
        </w:rPr>
        <w:t>在村庄生态系统类型比较丰富、生态环境脆弱性较高的地区，针对生态系统存在的突出问题，综合采取地质灾害治理、水环境治理、村庄环境治理等多种手段，促进生态系统修复工作的协调推进，逐步恢复柳南区的生态系统各项功能。规划期间，开展森林生态修复、污水处理和水环境修复工程，通过加强推进柳南区地质灾害工作，稳步开展农村人居环境整治和风貌提升工程，高效解决柳南区存在的公共空间杂乱、水环境污染和存在崩塌灾害风险等生态问题，重构村域水库水域沿岸植被廊道，提升生态服务功能。</w:t>
      </w:r>
    </w:p>
    <w:bookmarkEnd w:id="39"/>
    <w:p w14:paraId="51ADD26B">
      <w:pPr>
        <w:pStyle w:val="11"/>
        <w:tabs>
          <w:tab w:val="left" w:pos="2200"/>
        </w:tabs>
        <w:spacing w:line="360" w:lineRule="auto"/>
        <w:ind w:left="0" w:right="110" w:rightChars="50"/>
        <w:rPr>
          <w:rFonts w:hint="eastAsia"/>
          <w:color w:val="auto"/>
          <w:highlight w:val="none"/>
          <w:lang w:eastAsia="zh-CN"/>
        </w:rPr>
      </w:pPr>
    </w:p>
    <w:p w14:paraId="40B4F48A">
      <w:pPr>
        <w:pStyle w:val="3"/>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2"/>
          <w:szCs w:val="32"/>
          <w:highlight w:val="none"/>
          <w:lang w:eastAsia="zh-CN"/>
        </w:rPr>
      </w:pPr>
      <w:bookmarkStart w:id="43" w:name="_bookmark27"/>
      <w:bookmarkEnd w:id="43"/>
      <w:bookmarkStart w:id="44" w:name="_Toc24924"/>
      <w:r>
        <w:rPr>
          <w:rFonts w:ascii="微软雅黑" w:hAnsi="微软雅黑" w:eastAsia="微软雅黑" w:cs="微软雅黑"/>
          <w:b/>
          <w:bCs/>
          <w:color w:val="auto"/>
          <w:sz w:val="32"/>
          <w:szCs w:val="32"/>
          <w:highlight w:val="none"/>
          <w:lang w:eastAsia="zh-CN"/>
        </w:rPr>
        <w:t>第七章 实施保障</w:t>
      </w:r>
      <w:bookmarkEnd w:id="44"/>
    </w:p>
    <w:p w14:paraId="79161A10">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第八十</w:t>
      </w:r>
      <w:r>
        <w:rPr>
          <w:rFonts w:hint="eastAsia" w:ascii="微软雅黑" w:hAnsi="微软雅黑" w:eastAsia="微软雅黑"/>
          <w:b/>
          <w:color w:val="auto"/>
          <w:highlight w:val="none"/>
          <w:lang w:val="en-US" w:eastAsia="zh-CN"/>
        </w:rPr>
        <w:t>五</w:t>
      </w:r>
      <w:r>
        <w:rPr>
          <w:rFonts w:hint="eastAsia" w:ascii="微软雅黑" w:hAnsi="微软雅黑" w:eastAsia="微软雅黑"/>
          <w:b/>
          <w:color w:val="auto"/>
          <w:highlight w:val="none"/>
          <w:lang w:eastAsia="zh-CN"/>
        </w:rPr>
        <w:t>条</w:t>
      </w:r>
      <w:r>
        <w:rPr>
          <w:rFonts w:hint="eastAsia"/>
          <w:b/>
          <w:color w:val="auto"/>
          <w:spacing w:val="12"/>
          <w:highlight w:val="none"/>
          <w:lang w:eastAsia="zh-CN"/>
        </w:rPr>
        <w:t xml:space="preserve"> </w:t>
      </w:r>
      <w:r>
        <w:rPr>
          <w:rFonts w:hint="eastAsia"/>
          <w:color w:val="auto"/>
          <w:spacing w:val="-21"/>
          <w:highlight w:val="none"/>
          <w:lang w:val="en-US" w:eastAsia="zh-CN"/>
        </w:rPr>
        <w:t>规定</w:t>
      </w:r>
      <w:r>
        <w:rPr>
          <w:rFonts w:hint="eastAsia"/>
          <w:color w:val="auto"/>
          <w:spacing w:val="-21"/>
          <w:highlight w:val="none"/>
          <w:lang w:eastAsia="zh-CN"/>
        </w:rPr>
        <w:t>印发后，应纳入国土空间规划“一张图”实施监督信息系统，强化日常监督管理，建立“实施评估”制度，适时开展评估</w:t>
      </w:r>
      <w:r>
        <w:rPr>
          <w:color w:val="auto"/>
          <w:spacing w:val="-3"/>
          <w:highlight w:val="none"/>
          <w:lang w:eastAsia="zh-CN"/>
        </w:rPr>
        <w:t>。</w:t>
      </w:r>
    </w:p>
    <w:p w14:paraId="5FF2C009">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（一）经评估符合以下情形之一的可以按有关程序修改本通则：</w:t>
      </w:r>
    </w:p>
    <w:p w14:paraId="7EBE0C95">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1.因法律法规、政策文件、技术标准修订，且与本通则的强制性条款产生矛盾的。 </w:t>
      </w:r>
    </w:p>
    <w:p w14:paraId="5BF59EDF">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2.因上位国土空间总体规划修改调整，本通则与上位国土空间总体规划约束性指标及内容不符的。 </w:t>
      </w:r>
    </w:p>
    <w:p w14:paraId="78DCBCD5">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3.因行政区划已依法作调整，经对本通则实施进行评估，现行规定的审批机关认为确需对本通则进行修订的。 </w:t>
      </w:r>
    </w:p>
    <w:p w14:paraId="47451FD4">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4.因重大项目建设对本行政区乡村地区产生较大影响，经对本通则实施进行评估，现行规定的审批机关认为确需对本通则进行修订的。 </w:t>
      </w:r>
    </w:p>
    <w:p w14:paraId="41E2E9F2">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5.经实施评估，本通则无法满足国家农村集体经营性建设用地入市试点、国家和自治区批准的全域土地综合整治试点实施要求的。 </w:t>
      </w:r>
    </w:p>
    <w:p w14:paraId="3935D244">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6.法律法规和国务院、自治区、市区人民政府规定的其他情形。</w:t>
      </w:r>
    </w:p>
    <w:p w14:paraId="60D03D03">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（二）</w:t>
      </w:r>
      <w:r>
        <w:rPr>
          <w:rFonts w:hint="eastAsia"/>
          <w:color w:val="auto"/>
          <w:spacing w:val="-16"/>
          <w:highlight w:val="none"/>
          <w:lang w:val="en-US" w:eastAsia="zh-CN"/>
        </w:rPr>
        <w:t>本通则</w:t>
      </w:r>
      <w:r>
        <w:rPr>
          <w:rFonts w:hint="eastAsia"/>
          <w:color w:val="auto"/>
          <w:spacing w:val="-16"/>
          <w:highlight w:val="none"/>
          <w:lang w:eastAsia="zh-CN"/>
        </w:rPr>
        <w:t>修改由柳南区人民政府组织，柳南区自然资源局具体负责，可委托具备国土空间规划编制资质机构参与编制相关报告成果，具体修改流程如下：</w:t>
      </w:r>
    </w:p>
    <w:p w14:paraId="2FC192C7">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1.区自然资源局向区人民政府提出修改申请，需编制实施评估报告的应同步提交实施评估报告说明。 </w:t>
      </w:r>
    </w:p>
    <w:p w14:paraId="3028AB58">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2.区人民政府批准同意修改通则后，由区自然资源局进行编制修改通则。 </w:t>
      </w:r>
    </w:p>
    <w:p w14:paraId="23421AA6">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3.</w:t>
      </w:r>
      <w:r>
        <w:rPr>
          <w:rFonts w:hint="eastAsia"/>
          <w:color w:val="auto"/>
          <w:spacing w:val="-16"/>
          <w:highlight w:val="none"/>
          <w:lang w:val="en-US" w:eastAsia="zh-CN"/>
        </w:rPr>
        <w:t>本通则</w:t>
      </w:r>
      <w:r>
        <w:rPr>
          <w:rFonts w:hint="eastAsia"/>
          <w:color w:val="auto"/>
          <w:spacing w:val="-16"/>
          <w:highlight w:val="none"/>
          <w:lang w:eastAsia="zh-CN"/>
        </w:rPr>
        <w:t xml:space="preserve">成果编制完成后，应征求相关部门、乡镇人民政府、专家学者等各方意见，并及时修改完善后在区人民政府官方网站公示，公示时间不少于7 日。 </w:t>
      </w:r>
    </w:p>
    <w:p w14:paraId="3A051750">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4.公示期满无异议后，由区自然资源局报区人民政府批准后实施。</w:t>
      </w:r>
    </w:p>
    <w:p w14:paraId="705C3D10">
      <w:pPr>
        <w:pStyle w:val="11"/>
        <w:spacing w:line="360" w:lineRule="auto"/>
        <w:ind w:left="110" w:leftChars="50" w:right="110" w:rightChars="50" w:firstLine="560" w:firstLineChars="200"/>
        <w:rPr>
          <w:rFonts w:hint="eastAsia"/>
          <w:color w:val="auto"/>
          <w:spacing w:val="-16"/>
          <w:highlight w:val="none"/>
          <w:lang w:eastAsia="zh-CN"/>
        </w:rPr>
      </w:pPr>
      <w:r>
        <w:rPr>
          <w:rFonts w:hint="eastAsia" w:ascii="微软雅黑" w:hAnsi="微软雅黑" w:eastAsia="微软雅黑"/>
          <w:b/>
          <w:color w:val="auto"/>
          <w:highlight w:val="none"/>
          <w:lang w:eastAsia="zh-CN"/>
        </w:rPr>
        <w:t>第八十</w:t>
      </w:r>
      <w:r>
        <w:rPr>
          <w:rFonts w:hint="eastAsia" w:ascii="微软雅黑" w:hAnsi="微软雅黑" w:eastAsia="微软雅黑"/>
          <w:b/>
          <w:color w:val="auto"/>
          <w:highlight w:val="none"/>
          <w:lang w:val="en-US" w:eastAsia="zh-CN"/>
        </w:rPr>
        <w:t>六</w:t>
      </w:r>
      <w:r>
        <w:rPr>
          <w:rFonts w:hint="eastAsia" w:ascii="微软雅黑" w:hAnsi="微软雅黑" w:eastAsia="微软雅黑"/>
          <w:b/>
          <w:color w:val="auto"/>
          <w:highlight w:val="none"/>
          <w:lang w:eastAsia="zh-CN"/>
        </w:rPr>
        <w:t>条</w:t>
      </w:r>
      <w:r>
        <w:rPr>
          <w:rFonts w:hint="eastAsia"/>
          <w:b/>
          <w:color w:val="auto"/>
          <w:spacing w:val="6"/>
          <w:highlight w:val="none"/>
          <w:lang w:eastAsia="zh-CN"/>
        </w:rPr>
        <w:t xml:space="preserve"> </w:t>
      </w:r>
      <w:r>
        <w:rPr>
          <w:rFonts w:hint="eastAsia"/>
          <w:color w:val="auto"/>
          <w:spacing w:val="-16"/>
          <w:highlight w:val="none"/>
          <w:lang w:eastAsia="zh-CN"/>
        </w:rPr>
        <w:t>本通则若无法满足具体项目建设管控要求的，可编制乡村地区重点地块图则，作为核发规划许可的依据。乡村地区重点地块图则由项目地块所在的乡镇人民政府组织编制或委托具备国土空间规划编制资质的机构参与编制，由柳南区自然资源局组织技术审查和论证，乡镇人民政府组织村（居）民委员会、村（居）民会议或村（居）民代表会议讨论通过，并在村（居）内公示栏或乡镇人民政府官方网站公示，公示时间不少于7 日。公示期满无异议后，由区自然资源局报区人民政府批准后实施，并将成果纳入国土空间规划信息基础平台。</w:t>
      </w:r>
    </w:p>
    <w:p w14:paraId="1D9F8953">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（一）以下情形应编制乡村地区重点地块图则：</w:t>
      </w:r>
    </w:p>
    <w:p w14:paraId="0C63E808">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1.本通则条文式内容无法满足具体项目建设管控要求的。 </w:t>
      </w:r>
    </w:p>
    <w:p w14:paraId="6FC93B31">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2.单个建设项目涉及新增建设用地超过1 公顷或用地占用耕地指标的。 </w:t>
      </w:r>
    </w:p>
    <w:p w14:paraId="15F0C129">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3.涉及国家和自治区批准的全域土地综合整治试点项目用地。 </w:t>
      </w:r>
    </w:p>
    <w:p w14:paraId="502F0D32">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4.村庄规划中采用图标、留白等方式未明确地块管控要求的建设项目。 </w:t>
      </w:r>
    </w:p>
    <w:p w14:paraId="381A260F">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5.法律法规和国务院、自治区、市区人民政府规定的其他情形。</w:t>
      </w:r>
    </w:p>
    <w:p w14:paraId="5E32E0B1">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（二）乡村地区重点地块图则编制要求如下：</w:t>
      </w:r>
    </w:p>
    <w:p w14:paraId="60E2DEEF">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1.应采用2000 国家大地坐标，1985 国家高程基准，高斯—克吕格投影。并按广西壮族自治区相关规定要求提交数据标准形成的矢量数据。 </w:t>
      </w:r>
    </w:p>
    <w:p w14:paraId="7A8F6198">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2.图则比例宜为1:500～1:1000，不宜小于1:2000，可采用实测地形图或采用不低于0.2 米分辨率正射影像图和最新年度变更调查成果图叠加制作底图。 </w:t>
      </w:r>
    </w:p>
    <w:p w14:paraId="699FFE33">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 xml:space="preserve">3.图面应注明图则名称、地块范围、比例尺、指北针、图例、编制单位和制图单位等信息。 </w:t>
      </w:r>
    </w:p>
    <w:p w14:paraId="39E7DFA4">
      <w:pPr>
        <w:pStyle w:val="11"/>
        <w:spacing w:line="360" w:lineRule="auto"/>
        <w:ind w:left="110" w:leftChars="50" w:right="110" w:rightChars="50" w:firstLine="496" w:firstLineChars="200"/>
        <w:rPr>
          <w:rFonts w:hint="eastAsia"/>
          <w:color w:val="auto"/>
          <w:spacing w:val="-16"/>
          <w:highlight w:val="none"/>
          <w:lang w:eastAsia="zh-CN"/>
        </w:rPr>
      </w:pPr>
      <w:r>
        <w:rPr>
          <w:rFonts w:hint="eastAsia"/>
          <w:color w:val="auto"/>
          <w:spacing w:val="-16"/>
          <w:highlight w:val="none"/>
          <w:lang w:eastAsia="zh-CN"/>
        </w:rPr>
        <w:t>4.细化明确项目的用地位置、面积、土地用途、容积率、绿地率、建筑密度、建筑高度等控制内容，并标注项目地块范围坐标、地块设计标高、出入口方位、建筑退让控制线、地块周边信息等，完善项目概况、管理要求、重点项目地块控制表等内容（详见附图一）</w:t>
      </w:r>
    </w:p>
    <w:p w14:paraId="0F7B6CC0">
      <w:pPr>
        <w:pStyle w:val="3"/>
        <w:keepNext w:val="0"/>
        <w:keepLines w:val="0"/>
        <w:pageBreakBefore w:val="0"/>
        <w:widowControl w:val="0"/>
        <w:kinsoku/>
        <w:wordWrap/>
        <w:overflowPunct/>
        <w:topLinePunct w:val="0"/>
        <w:autoSpaceDE w:val="0"/>
        <w:autoSpaceDN w:val="0"/>
        <w:bidi w:val="0"/>
        <w:adjustRightInd/>
        <w:snapToGrid/>
        <w:spacing w:before="0" w:beforeLines="50" w:after="0" w:line="524" w:lineRule="exact"/>
        <w:ind w:right="300"/>
        <w:jc w:val="center"/>
        <w:textAlignment w:val="auto"/>
        <w:rPr>
          <w:rFonts w:hint="eastAsia" w:ascii="微软雅黑" w:hAnsi="微软雅黑" w:eastAsia="微软雅黑" w:cs="微软雅黑"/>
          <w:b/>
          <w:bCs/>
          <w:color w:val="auto"/>
          <w:sz w:val="32"/>
          <w:szCs w:val="32"/>
          <w:highlight w:val="none"/>
          <w:lang w:eastAsia="zh-CN"/>
        </w:rPr>
      </w:pPr>
      <w:bookmarkStart w:id="45" w:name="_bookmark28"/>
      <w:bookmarkEnd w:id="45"/>
      <w:bookmarkStart w:id="46" w:name="_Toc23207"/>
      <w:r>
        <w:rPr>
          <w:rFonts w:ascii="微软雅黑" w:hAnsi="微软雅黑" w:eastAsia="微软雅黑" w:cs="微软雅黑"/>
          <w:b/>
          <w:bCs/>
          <w:color w:val="auto"/>
          <w:sz w:val="32"/>
          <w:szCs w:val="32"/>
          <w:highlight w:val="none"/>
          <w:lang w:eastAsia="zh-CN"/>
        </w:rPr>
        <w:t>附则</w:t>
      </w:r>
      <w:bookmarkEnd w:id="46"/>
    </w:p>
    <w:p w14:paraId="0D07B0E2">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第八十</w:t>
      </w:r>
      <w:r>
        <w:rPr>
          <w:rFonts w:hint="eastAsia" w:ascii="微软雅黑" w:hAnsi="微软雅黑" w:eastAsia="微软雅黑"/>
          <w:b/>
          <w:color w:val="auto"/>
          <w:highlight w:val="none"/>
          <w:lang w:val="en-US" w:eastAsia="zh-CN"/>
        </w:rPr>
        <w:t>七</w:t>
      </w:r>
      <w:r>
        <w:rPr>
          <w:rFonts w:hint="eastAsia" w:ascii="微软雅黑" w:hAnsi="微软雅黑" w:eastAsia="微软雅黑"/>
          <w:b/>
          <w:color w:val="auto"/>
          <w:highlight w:val="none"/>
          <w:lang w:eastAsia="zh-CN"/>
        </w:rPr>
        <w:t xml:space="preserve">条 </w:t>
      </w:r>
      <w:r>
        <w:rPr>
          <w:rFonts w:hint="eastAsia"/>
          <w:color w:val="auto"/>
          <w:highlight w:val="none"/>
          <w:lang w:eastAsia="zh-CN"/>
        </w:rPr>
        <w:t>本通则自印发之日起试行，有效期至203</w:t>
      </w:r>
      <w:r>
        <w:rPr>
          <w:rFonts w:hint="eastAsia"/>
          <w:color w:val="auto"/>
          <w:highlight w:val="none"/>
          <w:lang w:val="en-US" w:eastAsia="zh-CN"/>
        </w:rPr>
        <w:t>5</w:t>
      </w:r>
      <w:r>
        <w:rPr>
          <w:rFonts w:hint="eastAsia"/>
          <w:color w:val="auto"/>
          <w:highlight w:val="none"/>
          <w:lang w:eastAsia="zh-CN"/>
        </w:rPr>
        <w:t>年</w:t>
      </w:r>
      <w:r>
        <w:rPr>
          <w:color w:val="auto"/>
          <w:highlight w:val="none"/>
          <w:lang w:eastAsia="zh-CN"/>
        </w:rPr>
        <w:t>。</w:t>
      </w:r>
    </w:p>
    <w:p w14:paraId="7B198B3D">
      <w:pPr>
        <w:pStyle w:val="11"/>
        <w:spacing w:line="360" w:lineRule="auto"/>
        <w:ind w:left="110" w:leftChars="50" w:right="110" w:rightChars="50" w:firstLine="560" w:firstLineChars="200"/>
        <w:rPr>
          <w:rFonts w:hint="eastAsia"/>
          <w:color w:val="auto"/>
          <w:highlight w:val="none"/>
          <w:lang w:eastAsia="zh-CN"/>
        </w:rPr>
      </w:pPr>
      <w:r>
        <w:rPr>
          <w:rFonts w:hint="eastAsia" w:ascii="微软雅黑" w:hAnsi="微软雅黑" w:eastAsia="微软雅黑"/>
          <w:b/>
          <w:color w:val="auto"/>
          <w:highlight w:val="none"/>
          <w:lang w:eastAsia="zh-CN"/>
        </w:rPr>
        <w:t xml:space="preserve">第八十八条 </w:t>
      </w:r>
      <w:r>
        <w:rPr>
          <w:rFonts w:hint="eastAsia"/>
          <w:color w:val="auto"/>
          <w:spacing w:val="-7"/>
          <w:highlight w:val="none"/>
          <w:lang w:eastAsia="zh-CN"/>
        </w:rPr>
        <w:t>本通则最终解释权归</w:t>
      </w:r>
      <w:r>
        <w:rPr>
          <w:rFonts w:hint="eastAsia"/>
          <w:color w:val="auto"/>
          <w:spacing w:val="-7"/>
          <w:highlight w:val="none"/>
          <w:lang w:val="en-US" w:eastAsia="zh-CN"/>
        </w:rPr>
        <w:t>柳南</w:t>
      </w:r>
      <w:r>
        <w:rPr>
          <w:rFonts w:hint="eastAsia"/>
          <w:color w:val="auto"/>
          <w:spacing w:val="-7"/>
          <w:highlight w:val="none"/>
          <w:lang w:eastAsia="zh-CN"/>
        </w:rPr>
        <w:t>区自然资源局，在实施过程中，如果遇到与国家新发布的法律法规、政策标准存在冲突的，</w:t>
      </w:r>
      <w:r>
        <w:rPr>
          <w:rFonts w:hint="eastAsia"/>
          <w:color w:val="auto"/>
          <w:spacing w:val="-7"/>
          <w:highlight w:val="none"/>
          <w:lang w:val="en-US" w:eastAsia="zh-CN"/>
        </w:rPr>
        <w:t>以国家最新</w:t>
      </w:r>
      <w:r>
        <w:rPr>
          <w:rFonts w:hint="eastAsia"/>
          <w:color w:val="auto"/>
          <w:spacing w:val="-7"/>
          <w:highlight w:val="none"/>
          <w:lang w:eastAsia="zh-CN"/>
        </w:rPr>
        <w:t>法律法规、政策标准</w:t>
      </w:r>
      <w:r>
        <w:rPr>
          <w:rFonts w:hint="eastAsia"/>
          <w:color w:val="auto"/>
          <w:spacing w:val="-7"/>
          <w:highlight w:val="none"/>
          <w:lang w:val="en-US" w:eastAsia="zh-CN"/>
        </w:rPr>
        <w:t>为准。</w:t>
      </w:r>
      <w:r>
        <w:rPr>
          <w:rFonts w:hint="eastAsia"/>
          <w:color w:val="auto"/>
          <w:spacing w:val="-7"/>
          <w:highlight w:val="none"/>
          <w:lang w:eastAsia="zh-CN"/>
        </w:rPr>
        <w:t>有</w:t>
      </w:r>
      <w:r>
        <w:rPr>
          <w:rFonts w:hint="eastAsia"/>
          <w:color w:val="auto"/>
          <w:spacing w:val="-7"/>
          <w:highlight w:val="none"/>
          <w:lang w:val="en-US" w:eastAsia="zh-CN"/>
        </w:rPr>
        <w:t>确需</w:t>
      </w:r>
      <w:r>
        <w:rPr>
          <w:rFonts w:hint="eastAsia"/>
          <w:color w:val="auto"/>
          <w:spacing w:val="-7"/>
          <w:highlight w:val="none"/>
          <w:lang w:eastAsia="zh-CN"/>
        </w:rPr>
        <w:t>调整的其他情形，由</w:t>
      </w:r>
      <w:r>
        <w:rPr>
          <w:rFonts w:hint="eastAsia"/>
          <w:color w:val="auto"/>
          <w:spacing w:val="-7"/>
          <w:highlight w:val="none"/>
          <w:lang w:val="en-US" w:eastAsia="zh-CN"/>
        </w:rPr>
        <w:t>柳南</w:t>
      </w:r>
      <w:r>
        <w:rPr>
          <w:rFonts w:hint="eastAsia"/>
          <w:color w:val="auto"/>
          <w:spacing w:val="-7"/>
          <w:highlight w:val="none"/>
          <w:lang w:eastAsia="zh-CN"/>
        </w:rPr>
        <w:t>区自然资源局按规定程序进行相应的调整或修订</w:t>
      </w:r>
      <w:r>
        <w:rPr>
          <w:color w:val="auto"/>
          <w:spacing w:val="-6"/>
          <w:highlight w:val="none"/>
          <w:lang w:eastAsia="zh-CN"/>
        </w:rPr>
        <w:t>。</w:t>
      </w:r>
    </w:p>
    <w:p w14:paraId="1DFFABC2">
      <w:pPr>
        <w:spacing w:line="360" w:lineRule="auto"/>
        <w:ind w:left="110" w:leftChars="50" w:right="110" w:rightChars="50" w:firstLine="560" w:firstLineChars="200"/>
        <w:rPr>
          <w:rFonts w:hint="eastAsia"/>
          <w:color w:val="auto"/>
          <w:sz w:val="28"/>
          <w:szCs w:val="28"/>
          <w:highlight w:val="none"/>
          <w:lang w:eastAsia="zh-CN"/>
        </w:rPr>
      </w:pPr>
      <w:r>
        <w:rPr>
          <w:rFonts w:hint="eastAsia" w:ascii="微软雅黑" w:hAnsi="微软雅黑" w:eastAsia="微软雅黑"/>
          <w:b/>
          <w:color w:val="auto"/>
          <w:sz w:val="28"/>
          <w:szCs w:val="28"/>
          <w:highlight w:val="none"/>
          <w:lang w:eastAsia="zh-CN"/>
        </w:rPr>
        <w:t xml:space="preserve">第八十九条 </w:t>
      </w:r>
      <w:r>
        <w:rPr>
          <w:rFonts w:hint="eastAsia"/>
          <w:color w:val="auto"/>
          <w:sz w:val="28"/>
          <w:szCs w:val="28"/>
          <w:highlight w:val="none"/>
          <w:lang w:eastAsia="zh-CN"/>
        </w:rPr>
        <w:t>本通则</w:t>
      </w:r>
      <w:r>
        <w:rPr>
          <w:color w:val="auto"/>
          <w:sz w:val="28"/>
          <w:szCs w:val="28"/>
          <w:highlight w:val="none"/>
          <w:lang w:eastAsia="zh-CN"/>
        </w:rPr>
        <w:t>有关用语如下：</w:t>
      </w:r>
    </w:p>
    <w:p w14:paraId="746CEA0B">
      <w:pPr>
        <w:pStyle w:val="11"/>
        <w:spacing w:line="360" w:lineRule="auto"/>
        <w:ind w:left="110" w:leftChars="50" w:right="110" w:rightChars="50" w:firstLine="560" w:firstLineChars="200"/>
        <w:rPr>
          <w:rFonts w:hint="eastAsia"/>
          <w:color w:val="auto"/>
          <w:highlight w:val="none"/>
          <w:lang w:eastAsia="zh-CN"/>
        </w:rPr>
      </w:pPr>
      <w:r>
        <w:rPr>
          <w:rFonts w:hint="eastAsia"/>
          <w:color w:val="auto"/>
          <w:highlight w:val="none"/>
          <w:lang w:eastAsia="zh-CN"/>
        </w:rPr>
        <w:t>1.</w:t>
      </w:r>
      <w:r>
        <w:rPr>
          <w:color w:val="auto"/>
          <w:highlight w:val="none"/>
          <w:lang w:eastAsia="zh-CN"/>
        </w:rPr>
        <w:t>在执行</w:t>
      </w:r>
      <w:r>
        <w:rPr>
          <w:rFonts w:hint="eastAsia"/>
          <w:color w:val="auto"/>
          <w:highlight w:val="none"/>
          <w:lang w:eastAsia="zh-CN"/>
        </w:rPr>
        <w:t>本通则</w:t>
      </w:r>
      <w:r>
        <w:rPr>
          <w:color w:val="auto"/>
          <w:highlight w:val="none"/>
          <w:lang w:eastAsia="zh-CN"/>
        </w:rPr>
        <w:t>的条文时，对要求严格程度不同的用词说明如下</w:t>
      </w:r>
    </w:p>
    <w:p w14:paraId="115BAD86">
      <w:pPr>
        <w:pStyle w:val="37"/>
        <w:numPr>
          <w:ilvl w:val="2"/>
          <w:numId w:val="1"/>
        </w:numPr>
        <w:tabs>
          <w:tab w:val="left" w:pos="1362"/>
        </w:tabs>
        <w:spacing w:line="360" w:lineRule="auto"/>
        <w:ind w:left="110" w:leftChars="50" w:right="110" w:rightChars="50" w:firstLine="508" w:firstLineChars="200"/>
        <w:contextualSpacing w:val="0"/>
        <w:rPr>
          <w:rFonts w:hint="eastAsia"/>
          <w:color w:val="auto"/>
          <w:sz w:val="28"/>
          <w:szCs w:val="28"/>
          <w:highlight w:val="none"/>
          <w:lang w:eastAsia="zh-CN"/>
        </w:rPr>
      </w:pPr>
      <w:r>
        <w:rPr>
          <w:rFonts w:hint="eastAsia"/>
          <w:color w:val="auto"/>
          <w:spacing w:val="-13"/>
          <w:sz w:val="28"/>
          <w:szCs w:val="28"/>
          <w:highlight w:val="none"/>
          <w:lang w:eastAsia="zh-CN"/>
        </w:rPr>
        <w:t>表示很严格，非这样做不可的用词：正面词采用“必须”，反面词采用“严禁”</w:t>
      </w:r>
      <w:r>
        <w:rPr>
          <w:color w:val="auto"/>
          <w:spacing w:val="-1"/>
          <w:sz w:val="28"/>
          <w:szCs w:val="28"/>
          <w:highlight w:val="none"/>
          <w:lang w:eastAsia="zh-CN"/>
        </w:rPr>
        <w:t>。</w:t>
      </w:r>
    </w:p>
    <w:p w14:paraId="051C952C">
      <w:pPr>
        <w:pStyle w:val="37"/>
        <w:numPr>
          <w:ilvl w:val="2"/>
          <w:numId w:val="1"/>
        </w:numPr>
        <w:tabs>
          <w:tab w:val="left" w:pos="1362"/>
        </w:tabs>
        <w:spacing w:line="360" w:lineRule="auto"/>
        <w:ind w:left="110" w:leftChars="50" w:right="110" w:rightChars="50" w:firstLine="512" w:firstLineChars="200"/>
        <w:contextualSpacing w:val="0"/>
        <w:rPr>
          <w:rFonts w:hint="eastAsia"/>
          <w:color w:val="auto"/>
          <w:sz w:val="28"/>
          <w:szCs w:val="28"/>
          <w:highlight w:val="none"/>
          <w:lang w:eastAsia="zh-CN"/>
        </w:rPr>
      </w:pPr>
      <w:r>
        <w:rPr>
          <w:rFonts w:hint="eastAsia"/>
          <w:color w:val="auto"/>
          <w:spacing w:val="-12"/>
          <w:sz w:val="28"/>
          <w:szCs w:val="28"/>
          <w:highlight w:val="none"/>
          <w:lang w:eastAsia="zh-CN"/>
        </w:rPr>
        <w:t>表示严格，在正常情况均应这样做的用词：正面词采用“应”，反面词采用“不应”或“不得”</w:t>
      </w:r>
      <w:r>
        <w:rPr>
          <w:color w:val="auto"/>
          <w:spacing w:val="-9"/>
          <w:sz w:val="28"/>
          <w:szCs w:val="28"/>
          <w:highlight w:val="none"/>
          <w:lang w:eastAsia="zh-CN"/>
        </w:rPr>
        <w:t>。</w:t>
      </w:r>
    </w:p>
    <w:p w14:paraId="349361E5">
      <w:pPr>
        <w:pStyle w:val="37"/>
        <w:numPr>
          <w:ilvl w:val="2"/>
          <w:numId w:val="1"/>
        </w:numPr>
        <w:tabs>
          <w:tab w:val="left" w:pos="1370"/>
        </w:tabs>
        <w:spacing w:line="360" w:lineRule="auto"/>
        <w:ind w:left="110" w:leftChars="50" w:right="110" w:rightChars="50" w:firstLine="556" w:firstLineChars="200"/>
        <w:contextualSpacing w:val="0"/>
        <w:rPr>
          <w:rFonts w:hint="eastAsia"/>
          <w:color w:val="auto"/>
          <w:sz w:val="28"/>
          <w:szCs w:val="28"/>
          <w:highlight w:val="none"/>
          <w:lang w:eastAsia="zh-CN"/>
        </w:rPr>
      </w:pPr>
      <w:r>
        <w:rPr>
          <w:rFonts w:hint="eastAsia"/>
          <w:color w:val="auto"/>
          <w:spacing w:val="-1"/>
          <w:sz w:val="28"/>
          <w:szCs w:val="28"/>
          <w:highlight w:val="none"/>
          <w:lang w:eastAsia="zh-CN"/>
        </w:rPr>
        <w:t>表示允许稍有选择，在条件许可时首先应这样做的用词：正面词采用“宜”，反面词采用“不宜”</w:t>
      </w:r>
      <w:r>
        <w:rPr>
          <w:color w:val="auto"/>
          <w:spacing w:val="-3"/>
          <w:sz w:val="28"/>
          <w:szCs w:val="28"/>
          <w:highlight w:val="none"/>
          <w:lang w:eastAsia="zh-CN"/>
        </w:rPr>
        <w:t>。</w:t>
      </w:r>
    </w:p>
    <w:p w14:paraId="151F6EC7">
      <w:pPr>
        <w:pStyle w:val="37"/>
        <w:numPr>
          <w:ilvl w:val="2"/>
          <w:numId w:val="1"/>
        </w:numPr>
        <w:tabs>
          <w:tab w:val="left" w:pos="1364"/>
        </w:tabs>
        <w:spacing w:line="360" w:lineRule="auto"/>
        <w:ind w:left="110" w:leftChars="50" w:right="110" w:rightChars="50" w:firstLine="548" w:firstLineChars="200"/>
        <w:contextualSpacing w:val="0"/>
        <w:rPr>
          <w:rFonts w:hint="eastAsia"/>
          <w:color w:val="auto"/>
          <w:sz w:val="28"/>
          <w:szCs w:val="28"/>
          <w:highlight w:val="none"/>
          <w:lang w:eastAsia="zh-CN"/>
        </w:rPr>
      </w:pPr>
      <w:r>
        <w:rPr>
          <w:rFonts w:hint="eastAsia"/>
          <w:color w:val="auto"/>
          <w:spacing w:val="-3"/>
          <w:sz w:val="28"/>
          <w:szCs w:val="28"/>
          <w:highlight w:val="none"/>
          <w:lang w:eastAsia="zh-CN"/>
        </w:rPr>
        <w:t>表示有选择，在一定条件下可以这样做的用词，采用“可”</w:t>
      </w:r>
      <w:r>
        <w:rPr>
          <w:color w:val="auto"/>
          <w:spacing w:val="-3"/>
          <w:sz w:val="28"/>
          <w:szCs w:val="28"/>
          <w:highlight w:val="none"/>
          <w:lang w:eastAsia="zh-CN"/>
        </w:rPr>
        <w:t>。</w:t>
      </w:r>
    </w:p>
    <w:p w14:paraId="71E980F0">
      <w:pPr>
        <w:pStyle w:val="11"/>
        <w:numPr>
          <w:ilvl w:val="0"/>
          <w:numId w:val="2"/>
        </w:numPr>
        <w:spacing w:line="360" w:lineRule="auto"/>
        <w:ind w:left="110" w:leftChars="50" w:right="110" w:rightChars="50" w:firstLine="560" w:firstLineChars="200"/>
        <w:rPr>
          <w:color w:val="auto"/>
          <w:highlight w:val="none"/>
          <w:lang w:eastAsia="zh-CN"/>
        </w:rPr>
      </w:pPr>
      <w:r>
        <w:rPr>
          <w:rFonts w:hint="eastAsia"/>
          <w:color w:val="auto"/>
          <w:highlight w:val="none"/>
          <w:lang w:eastAsia="zh-CN"/>
        </w:rPr>
        <w:t>条文中指明应按其他有关标准、规范执行的要求为：“应符合……的规定（要求）”或“应按照……执行”，如相关标准、规范有更新，按最新文件要求执行</w:t>
      </w:r>
      <w:r>
        <w:rPr>
          <w:color w:val="auto"/>
          <w:highlight w:val="none"/>
          <w:lang w:eastAsia="zh-CN"/>
        </w:rPr>
        <w:t>。</w:t>
      </w:r>
    </w:p>
    <w:p w14:paraId="26045D51">
      <w:pPr>
        <w:pStyle w:val="3"/>
        <w:keepNext w:val="0"/>
        <w:keepLines w:val="0"/>
        <w:pageBreakBefore w:val="0"/>
        <w:widowControl w:val="0"/>
        <w:kinsoku/>
        <w:wordWrap/>
        <w:overflowPunct/>
        <w:topLinePunct w:val="0"/>
        <w:autoSpaceDE w:val="0"/>
        <w:autoSpaceDN w:val="0"/>
        <w:bidi w:val="0"/>
        <w:adjustRightInd/>
        <w:snapToGrid/>
        <w:spacing w:before="0" w:beforeLines="50" w:after="0" w:line="524" w:lineRule="exact"/>
        <w:ind w:right="300"/>
        <w:jc w:val="center"/>
        <w:textAlignment w:val="auto"/>
        <w:rPr>
          <w:rFonts w:hint="eastAsia" w:ascii="微软雅黑" w:hAnsi="微软雅黑" w:eastAsia="微软雅黑" w:cs="微软雅黑"/>
          <w:b/>
          <w:bCs/>
          <w:color w:val="auto"/>
          <w:sz w:val="32"/>
          <w:szCs w:val="32"/>
          <w:highlight w:val="none"/>
          <w:lang w:eastAsia="zh-CN"/>
        </w:rPr>
      </w:pPr>
      <w:bookmarkStart w:id="47" w:name="_Toc30733"/>
      <w:r>
        <w:rPr>
          <w:rFonts w:ascii="微软雅黑" w:hAnsi="微软雅黑" w:eastAsia="微软雅黑" w:cs="微软雅黑"/>
          <w:b/>
          <w:bCs/>
          <w:color w:val="auto"/>
          <w:sz w:val="32"/>
          <w:szCs w:val="32"/>
          <w:highlight w:val="none"/>
          <w:lang w:eastAsia="zh-CN"/>
        </w:rPr>
        <w:t>附录</w:t>
      </w:r>
      <w:bookmarkEnd w:id="47"/>
    </w:p>
    <w:p w14:paraId="107CB615">
      <w:pPr>
        <w:pStyle w:val="11"/>
        <w:spacing w:before="11"/>
        <w:ind w:left="0"/>
        <w:rPr>
          <w:rFonts w:hint="eastAsia" w:ascii="微软雅黑"/>
          <w:b/>
          <w:color w:val="auto"/>
          <w:sz w:val="20"/>
          <w:highlight w:val="none"/>
          <w:lang w:eastAsia="zh-CN"/>
        </w:rPr>
      </w:pPr>
    </w:p>
    <w:p w14:paraId="1B620C50">
      <w:pPr>
        <w:pStyle w:val="5"/>
        <w:keepNext w:val="0"/>
        <w:keepLines w:val="0"/>
        <w:spacing w:before="0" w:after="0"/>
        <w:ind w:right="296"/>
        <w:jc w:val="center"/>
        <w:rPr>
          <w:rFonts w:hint="eastAsia" w:ascii="微软雅黑" w:hAnsi="微软雅黑" w:eastAsia="微软雅黑" w:cs="微软雅黑"/>
          <w:b/>
          <w:bCs/>
          <w:color w:val="auto"/>
          <w:sz w:val="30"/>
          <w:szCs w:val="30"/>
          <w:highlight w:val="none"/>
          <w:lang w:eastAsia="zh-CN"/>
        </w:rPr>
      </w:pPr>
      <w:bookmarkStart w:id="48" w:name="_bookmark30"/>
      <w:bookmarkEnd w:id="48"/>
      <w:r>
        <w:rPr>
          <w:rFonts w:ascii="微软雅黑" w:hAnsi="微软雅黑" w:eastAsia="微软雅黑" w:cs="微软雅黑"/>
          <w:b/>
          <w:bCs/>
          <w:color w:val="auto"/>
          <w:sz w:val="30"/>
          <w:szCs w:val="30"/>
          <w:highlight w:val="none"/>
          <w:lang w:eastAsia="zh-CN"/>
        </w:rPr>
        <w:t>附录一 名词解释</w:t>
      </w:r>
    </w:p>
    <w:p w14:paraId="1B7F13E2">
      <w:pPr>
        <w:pStyle w:val="11"/>
        <w:spacing w:before="228" w:line="381" w:lineRule="auto"/>
        <w:ind w:right="259" w:firstLine="559"/>
        <w:rPr>
          <w:rFonts w:hint="eastAsia"/>
          <w:color w:val="auto"/>
          <w:highlight w:val="none"/>
          <w:lang w:eastAsia="zh-CN"/>
        </w:rPr>
      </w:pPr>
      <w:r>
        <w:rPr>
          <w:rFonts w:hint="eastAsia" w:ascii="Times New Roman" w:eastAsia="Times New Roman"/>
          <w:color w:val="auto"/>
          <w:highlight w:val="none"/>
          <w:lang w:eastAsia="zh-CN"/>
        </w:rPr>
        <w:t>1.</w:t>
      </w:r>
      <w:r>
        <w:rPr>
          <w:color w:val="auto"/>
          <w:spacing w:val="-16"/>
          <w:highlight w:val="none"/>
          <w:lang w:eastAsia="zh-CN"/>
        </w:rPr>
        <w:t>城镇开发边界：是指在一定时期内因城镇发展需要，可以集中进行城镇开发建设，重点完善城镇功能的区域边界，涉及城市、建制镇以及各类开发区等。</w:t>
      </w:r>
    </w:p>
    <w:p w14:paraId="752A8F21">
      <w:pPr>
        <w:pStyle w:val="11"/>
        <w:spacing w:before="1" w:line="384" w:lineRule="auto"/>
        <w:ind w:right="397" w:firstLine="559"/>
        <w:jc w:val="both"/>
        <w:rPr>
          <w:rFonts w:hint="eastAsia"/>
          <w:color w:val="auto"/>
          <w:highlight w:val="none"/>
          <w:lang w:eastAsia="zh-CN"/>
        </w:rPr>
      </w:pPr>
      <w:r>
        <w:rPr>
          <w:rFonts w:hint="eastAsia" w:ascii="Times New Roman" w:eastAsia="Times New Roman"/>
          <w:color w:val="auto"/>
          <w:highlight w:val="none"/>
          <w:lang w:eastAsia="zh-CN"/>
        </w:rPr>
        <w:t>2.</w:t>
      </w:r>
      <w:r>
        <w:rPr>
          <w:color w:val="auto"/>
          <w:spacing w:val="-17"/>
          <w:highlight w:val="none"/>
          <w:lang w:eastAsia="zh-CN"/>
        </w:rPr>
        <w:t>村庄建设边界：是指在一定时期内，可以进行村庄开发建设及需要重点管</w:t>
      </w:r>
      <w:r>
        <w:rPr>
          <w:color w:val="auto"/>
          <w:spacing w:val="-12"/>
          <w:highlight w:val="none"/>
          <w:lang w:eastAsia="zh-CN"/>
        </w:rPr>
        <w:t>控的国土空间范围，是规划相对集中的农村居民点建设用地以及因村庄建设和发</w:t>
      </w:r>
      <w:r>
        <w:rPr>
          <w:color w:val="auto"/>
          <w:spacing w:val="-7"/>
          <w:highlight w:val="none"/>
          <w:lang w:eastAsia="zh-CN"/>
        </w:rPr>
        <w:t>展需要必须实行规划控制的区域。</w:t>
      </w:r>
    </w:p>
    <w:p w14:paraId="7CC1D082">
      <w:pPr>
        <w:pStyle w:val="11"/>
        <w:spacing w:line="381" w:lineRule="auto"/>
        <w:ind w:right="392" w:firstLine="559"/>
        <w:jc w:val="both"/>
        <w:rPr>
          <w:rFonts w:hint="eastAsia"/>
          <w:color w:val="auto"/>
          <w:highlight w:val="none"/>
          <w:lang w:eastAsia="zh-CN"/>
        </w:rPr>
      </w:pPr>
      <w:r>
        <w:rPr>
          <w:rFonts w:hint="eastAsia" w:ascii="Times New Roman" w:eastAsia="Times New Roman"/>
          <w:color w:val="auto"/>
          <w:highlight w:val="none"/>
          <w:lang w:eastAsia="zh-CN"/>
        </w:rPr>
        <w:t>3.</w:t>
      </w:r>
      <w:r>
        <w:rPr>
          <w:color w:val="auto"/>
          <w:spacing w:val="-9"/>
          <w:highlight w:val="none"/>
          <w:lang w:eastAsia="zh-CN"/>
        </w:rPr>
        <w:t>村庄建设用地</w:t>
      </w:r>
      <w:r>
        <w:rPr>
          <w:color w:val="auto"/>
          <w:highlight w:val="none"/>
          <w:lang w:eastAsia="zh-CN"/>
        </w:rPr>
        <w:t>（</w:t>
      </w:r>
      <w:r>
        <w:rPr>
          <w:rFonts w:ascii="Times New Roman" w:eastAsia="Times New Roman"/>
          <w:color w:val="auto"/>
          <w:highlight w:val="none"/>
          <w:lang w:eastAsia="zh-CN"/>
        </w:rPr>
        <w:t xml:space="preserve">203 </w:t>
      </w:r>
      <w:r>
        <w:rPr>
          <w:color w:val="auto"/>
          <w:highlight w:val="none"/>
          <w:lang w:eastAsia="zh-CN"/>
        </w:rPr>
        <w:t>图斑</w:t>
      </w:r>
      <w:r>
        <w:rPr>
          <w:color w:val="auto"/>
          <w:spacing w:val="-23"/>
          <w:highlight w:val="none"/>
          <w:lang w:eastAsia="zh-CN"/>
        </w:rPr>
        <w:t>）</w:t>
      </w:r>
      <w:r>
        <w:rPr>
          <w:color w:val="auto"/>
          <w:spacing w:val="-9"/>
          <w:highlight w:val="none"/>
          <w:lang w:eastAsia="zh-CN"/>
        </w:rPr>
        <w:t>：是指村庄住宅、公共服务设施、市政公用设</w:t>
      </w:r>
      <w:r>
        <w:rPr>
          <w:color w:val="auto"/>
          <w:spacing w:val="-6"/>
          <w:highlight w:val="none"/>
          <w:lang w:eastAsia="zh-CN"/>
        </w:rPr>
        <w:t>施、村庄产业用地等各项建设项目用地。</w:t>
      </w:r>
    </w:p>
    <w:p w14:paraId="3268FE3E">
      <w:pPr>
        <w:pStyle w:val="11"/>
        <w:spacing w:line="381" w:lineRule="auto"/>
        <w:ind w:right="398" w:firstLine="559"/>
        <w:rPr>
          <w:rFonts w:hint="eastAsia"/>
          <w:color w:val="auto"/>
          <w:highlight w:val="none"/>
          <w:lang w:eastAsia="zh-CN"/>
        </w:rPr>
      </w:pPr>
      <w:r>
        <w:rPr>
          <w:rFonts w:hint="eastAsia" w:ascii="Times New Roman" w:eastAsia="Times New Roman"/>
          <w:color w:val="auto"/>
          <w:highlight w:val="none"/>
          <w:lang w:eastAsia="zh-CN"/>
        </w:rPr>
        <w:t>4.</w:t>
      </w:r>
      <w:r>
        <w:rPr>
          <w:color w:val="auto"/>
          <w:spacing w:val="-16"/>
          <w:highlight w:val="none"/>
          <w:lang w:eastAsia="zh-CN"/>
        </w:rPr>
        <w:t>农村宅基地：是指农村村民合法使用或依法批准，用于建造住宅及其附属</w:t>
      </w:r>
      <w:r>
        <w:rPr>
          <w:color w:val="auto"/>
          <w:spacing w:val="-3"/>
          <w:highlight w:val="none"/>
          <w:lang w:eastAsia="zh-CN"/>
        </w:rPr>
        <w:t>设施的集体建设用地，包括住房、附属用房和庭院等用地。</w:t>
      </w:r>
    </w:p>
    <w:p w14:paraId="00EE6379">
      <w:pPr>
        <w:pStyle w:val="11"/>
        <w:spacing w:line="381" w:lineRule="auto"/>
        <w:ind w:right="396" w:firstLine="559"/>
        <w:rPr>
          <w:rFonts w:hint="eastAsia"/>
          <w:color w:val="auto"/>
          <w:highlight w:val="none"/>
          <w:lang w:eastAsia="zh-CN"/>
        </w:rPr>
      </w:pPr>
      <w:r>
        <w:rPr>
          <w:rFonts w:hint="eastAsia" w:ascii="Times New Roman" w:eastAsia="Times New Roman"/>
          <w:color w:val="auto"/>
          <w:highlight w:val="none"/>
          <w:lang w:eastAsia="zh-CN"/>
        </w:rPr>
        <w:t>5.</w:t>
      </w:r>
      <w:r>
        <w:rPr>
          <w:color w:val="auto"/>
          <w:spacing w:val="-15"/>
          <w:highlight w:val="none"/>
          <w:lang w:eastAsia="zh-CN"/>
        </w:rPr>
        <w:t>乡村建筑：是指村庄建设用地上各类建筑和附属设施的总称，主要包括居住建筑</w:t>
      </w:r>
      <w:r>
        <w:rPr>
          <w:color w:val="auto"/>
          <w:spacing w:val="-3"/>
          <w:highlight w:val="none"/>
          <w:lang w:eastAsia="zh-CN"/>
        </w:rPr>
        <w:t>（</w:t>
      </w:r>
      <w:r>
        <w:rPr>
          <w:color w:val="auto"/>
          <w:spacing w:val="-2"/>
          <w:highlight w:val="none"/>
          <w:lang w:eastAsia="zh-CN"/>
        </w:rPr>
        <w:t>村民住房</w:t>
      </w:r>
      <w:r>
        <w:rPr>
          <w:color w:val="auto"/>
          <w:highlight w:val="none"/>
          <w:lang w:eastAsia="zh-CN"/>
        </w:rPr>
        <w:t>）</w:t>
      </w:r>
      <w:r>
        <w:rPr>
          <w:color w:val="auto"/>
          <w:spacing w:val="-9"/>
          <w:highlight w:val="none"/>
          <w:lang w:eastAsia="zh-CN"/>
        </w:rPr>
        <w:t xml:space="preserve">、公共建筑和生产性建筑 </w:t>
      </w:r>
      <w:r>
        <w:rPr>
          <w:rFonts w:ascii="Times New Roman" w:eastAsia="Times New Roman"/>
          <w:color w:val="auto"/>
          <w:highlight w:val="none"/>
          <w:lang w:eastAsia="zh-CN"/>
        </w:rPr>
        <w:t xml:space="preserve">3 </w:t>
      </w:r>
      <w:r>
        <w:rPr>
          <w:color w:val="auto"/>
          <w:spacing w:val="-2"/>
          <w:highlight w:val="none"/>
          <w:lang w:eastAsia="zh-CN"/>
        </w:rPr>
        <w:t>大类。</w:t>
      </w:r>
    </w:p>
    <w:p w14:paraId="546ACF5B">
      <w:pPr>
        <w:pStyle w:val="11"/>
        <w:spacing w:before="2"/>
        <w:ind w:left="659"/>
        <w:rPr>
          <w:rFonts w:hint="eastAsia"/>
          <w:color w:val="auto"/>
          <w:highlight w:val="none"/>
          <w:lang w:eastAsia="zh-CN"/>
        </w:rPr>
      </w:pPr>
      <w:r>
        <w:rPr>
          <w:rFonts w:hint="eastAsia" w:ascii="Times New Roman" w:hAnsi="Times New Roman" w:eastAsia="Times New Roman"/>
          <w:color w:val="auto"/>
          <w:highlight w:val="none"/>
          <w:lang w:eastAsia="zh-CN"/>
        </w:rPr>
        <w:t>6.</w:t>
      </w:r>
      <w:r>
        <w:rPr>
          <w:color w:val="auto"/>
          <w:highlight w:val="none"/>
          <w:lang w:eastAsia="zh-CN"/>
        </w:rPr>
        <w:t>±</w:t>
      </w:r>
      <w:r>
        <w:rPr>
          <w:rFonts w:ascii="Times New Roman" w:hAnsi="Times New Roman" w:eastAsia="Times New Roman"/>
          <w:color w:val="auto"/>
          <w:highlight w:val="none"/>
          <w:lang w:eastAsia="zh-CN"/>
        </w:rPr>
        <w:t xml:space="preserve">0.000 </w:t>
      </w:r>
      <w:r>
        <w:rPr>
          <w:color w:val="auto"/>
          <w:highlight w:val="none"/>
          <w:lang w:eastAsia="zh-CN"/>
        </w:rPr>
        <w:t>标高：是指建筑物室外地面标高。</w:t>
      </w:r>
    </w:p>
    <w:p w14:paraId="20A1AAF5">
      <w:pPr>
        <w:pStyle w:val="11"/>
        <w:spacing w:before="213" w:line="381" w:lineRule="auto"/>
        <w:ind w:right="398" w:firstLine="559"/>
        <w:rPr>
          <w:rFonts w:hint="eastAsia"/>
          <w:color w:val="auto"/>
          <w:highlight w:val="none"/>
          <w:lang w:eastAsia="zh-CN"/>
        </w:rPr>
      </w:pPr>
      <w:r>
        <w:rPr>
          <w:rFonts w:hint="eastAsia" w:ascii="Times New Roman" w:eastAsia="Times New Roman"/>
          <w:color w:val="auto"/>
          <w:highlight w:val="none"/>
          <w:lang w:eastAsia="zh-CN"/>
        </w:rPr>
        <w:t>7.</w:t>
      </w:r>
      <w:r>
        <w:rPr>
          <w:color w:val="auto"/>
          <w:spacing w:val="-15"/>
          <w:highlight w:val="none"/>
          <w:lang w:eastAsia="zh-CN"/>
        </w:rPr>
        <w:t>防火间距：是指防止着火建筑在一定时间内引燃相邻建筑，便于消防扑救</w:t>
      </w:r>
      <w:r>
        <w:rPr>
          <w:color w:val="auto"/>
          <w:spacing w:val="-1"/>
          <w:highlight w:val="none"/>
          <w:lang w:eastAsia="zh-CN"/>
        </w:rPr>
        <w:t>的间隔距离。</w:t>
      </w:r>
    </w:p>
    <w:p w14:paraId="75283039">
      <w:pPr>
        <w:pStyle w:val="11"/>
        <w:spacing w:before="1" w:line="381" w:lineRule="auto"/>
        <w:ind w:right="398" w:firstLine="559"/>
        <w:rPr>
          <w:rFonts w:hint="eastAsia"/>
          <w:color w:val="auto"/>
          <w:highlight w:val="none"/>
          <w:lang w:eastAsia="zh-CN"/>
        </w:rPr>
      </w:pPr>
      <w:r>
        <w:rPr>
          <w:rFonts w:hint="eastAsia" w:ascii="Times New Roman" w:eastAsia="Times New Roman"/>
          <w:color w:val="auto"/>
          <w:highlight w:val="none"/>
          <w:lang w:eastAsia="zh-CN"/>
        </w:rPr>
        <w:t>8.</w:t>
      </w:r>
      <w:r>
        <w:rPr>
          <w:color w:val="auto"/>
          <w:spacing w:val="-16"/>
          <w:highlight w:val="none"/>
          <w:lang w:eastAsia="zh-CN"/>
        </w:rPr>
        <w:t>国土空间规划编制资质：国土空间规划编制资质包括城乡规划编制资质、</w:t>
      </w:r>
      <w:r>
        <w:rPr>
          <w:color w:val="auto"/>
          <w:spacing w:val="-8"/>
          <w:highlight w:val="none"/>
          <w:lang w:eastAsia="zh-CN"/>
        </w:rPr>
        <w:t>土地规划编制资质等。</w:t>
      </w:r>
    </w:p>
    <w:p w14:paraId="1BBBF6FC">
      <w:pPr>
        <w:pStyle w:val="5"/>
        <w:keepNext w:val="0"/>
        <w:keepLines w:val="0"/>
        <w:pageBreakBefore w:val="0"/>
        <w:widowControl w:val="0"/>
        <w:kinsoku/>
        <w:wordWrap/>
        <w:overflowPunct/>
        <w:topLinePunct w:val="0"/>
        <w:autoSpaceDE w:val="0"/>
        <w:autoSpaceDN w:val="0"/>
        <w:bidi w:val="0"/>
        <w:adjustRightInd/>
        <w:snapToGrid/>
        <w:spacing w:before="0" w:beforeLines="50" w:after="0"/>
        <w:ind w:right="295"/>
        <w:jc w:val="center"/>
        <w:textAlignment w:val="auto"/>
        <w:rPr>
          <w:rFonts w:hint="eastAsia" w:ascii="微软雅黑" w:hAnsi="微软雅黑" w:eastAsia="微软雅黑" w:cs="微软雅黑"/>
          <w:b/>
          <w:bCs/>
          <w:color w:val="auto"/>
          <w:sz w:val="30"/>
          <w:szCs w:val="30"/>
          <w:highlight w:val="none"/>
          <w:lang w:eastAsia="zh-CN"/>
        </w:rPr>
      </w:pPr>
      <w:bookmarkStart w:id="49" w:name="_bookmark31"/>
      <w:bookmarkEnd w:id="49"/>
      <w:r>
        <w:rPr>
          <w:rFonts w:ascii="微软雅黑" w:hAnsi="微软雅黑" w:eastAsia="微软雅黑" w:cs="微软雅黑"/>
          <w:b/>
          <w:bCs/>
          <w:color w:val="auto"/>
          <w:sz w:val="30"/>
          <w:szCs w:val="30"/>
          <w:highlight w:val="none"/>
          <w:lang w:eastAsia="zh-CN"/>
        </w:rPr>
        <w:t>附录二 指标计算规则</w:t>
      </w:r>
    </w:p>
    <w:p w14:paraId="14FEDC25">
      <w:pPr>
        <w:pStyle w:val="6"/>
        <w:keepNext w:val="0"/>
        <w:keepLines w:val="0"/>
        <w:spacing w:before="136" w:after="0"/>
        <w:ind w:left="662"/>
        <w:rPr>
          <w:rFonts w:hint="eastAsia" w:ascii="微软雅黑" w:hAnsi="微软雅黑" w:eastAsia="微软雅黑" w:cs="微软雅黑"/>
          <w:b/>
          <w:bCs/>
          <w:color w:val="auto"/>
          <w:sz w:val="28"/>
          <w:szCs w:val="28"/>
          <w:highlight w:val="none"/>
          <w:lang w:eastAsia="zh-CN"/>
        </w:rPr>
      </w:pPr>
      <w:r>
        <w:rPr>
          <w:rFonts w:ascii="微软雅黑" w:hAnsi="微软雅黑" w:eastAsia="微软雅黑" w:cs="微软雅黑"/>
          <w:b/>
          <w:bCs/>
          <w:color w:val="auto"/>
          <w:sz w:val="28"/>
          <w:szCs w:val="28"/>
          <w:highlight w:val="none"/>
          <w:lang w:eastAsia="zh-CN"/>
        </w:rPr>
        <w:t>（一）建筑高度</w:t>
      </w:r>
    </w:p>
    <w:p w14:paraId="10502C92">
      <w:pPr>
        <w:pStyle w:val="11"/>
        <w:spacing w:before="147" w:line="381" w:lineRule="auto"/>
        <w:ind w:right="401" w:firstLine="559"/>
        <w:rPr>
          <w:rFonts w:hint="eastAsia"/>
          <w:color w:val="auto"/>
          <w:highlight w:val="none"/>
          <w:lang w:eastAsia="zh-CN"/>
        </w:rPr>
      </w:pPr>
      <w:r>
        <w:rPr>
          <w:rFonts w:hint="eastAsia" w:ascii="Times New Roman" w:eastAsia="Times New Roman"/>
          <w:color w:val="auto"/>
          <w:highlight w:val="none"/>
          <w:lang w:eastAsia="zh-CN"/>
        </w:rPr>
        <w:t>1.</w:t>
      </w:r>
      <w:r>
        <w:rPr>
          <w:color w:val="auto"/>
          <w:highlight w:val="none"/>
          <w:lang w:eastAsia="zh-CN"/>
        </w:rPr>
        <w:t>平屋顶建筑高度应按室外设计地坪至建筑物女儿墙顶点的高度计算；无女儿墙的建筑应</w:t>
      </w:r>
      <w:r>
        <w:rPr>
          <w:rFonts w:hint="eastAsia"/>
          <w:color w:val="auto"/>
          <w:highlight w:val="none"/>
          <w:lang w:eastAsia="zh-CN"/>
        </w:rPr>
        <w:t>按</w:t>
      </w:r>
      <w:r>
        <w:rPr>
          <w:color w:val="auto"/>
          <w:highlight w:val="none"/>
          <w:lang w:eastAsia="zh-CN"/>
        </w:rPr>
        <w:t>其屋面檐口顶点的高度计算。</w:t>
      </w:r>
    </w:p>
    <w:p w14:paraId="6ECA8832">
      <w:pPr>
        <w:pStyle w:val="11"/>
        <w:spacing w:before="1" w:line="381" w:lineRule="auto"/>
        <w:ind w:right="395" w:firstLine="559"/>
        <w:jc w:val="both"/>
        <w:rPr>
          <w:rFonts w:hint="eastAsia"/>
          <w:color w:val="auto"/>
          <w:highlight w:val="none"/>
          <w:lang w:eastAsia="zh-CN"/>
        </w:rPr>
      </w:pPr>
      <w:r>
        <w:rPr>
          <w:rFonts w:hint="eastAsia" w:ascii="Times New Roman" w:eastAsia="Times New Roman"/>
          <w:color w:val="auto"/>
          <w:highlight w:val="none"/>
          <w:lang w:eastAsia="zh-CN"/>
        </w:rPr>
        <w:t>2.</w:t>
      </w:r>
      <w:r>
        <w:rPr>
          <w:color w:val="auto"/>
          <w:spacing w:val="-11"/>
          <w:highlight w:val="none"/>
          <w:lang w:eastAsia="zh-CN"/>
        </w:rPr>
        <w:t xml:space="preserve">坡屋顶屋面坡度比小于或等于 </w:t>
      </w:r>
      <w:r>
        <w:rPr>
          <w:rFonts w:ascii="Times New Roman" w:eastAsia="Times New Roman"/>
          <w:color w:val="auto"/>
          <w:highlight w:val="none"/>
          <w:lang w:eastAsia="zh-CN"/>
        </w:rPr>
        <w:t xml:space="preserve">1:2.5 </w:t>
      </w:r>
      <w:r>
        <w:rPr>
          <w:color w:val="auto"/>
          <w:spacing w:val="-6"/>
          <w:highlight w:val="none"/>
          <w:lang w:eastAsia="zh-CN"/>
        </w:rPr>
        <w:t>的坡顶建筑，建筑高度应按室外设计</w:t>
      </w:r>
      <w:r>
        <w:rPr>
          <w:color w:val="auto"/>
          <w:spacing w:val="-8"/>
          <w:highlight w:val="none"/>
          <w:lang w:eastAsia="zh-CN"/>
        </w:rPr>
        <w:t>地坪至屋面檐口或坡屋面最低点的高度计算，存在多个檐口高度时，则要按其中</w:t>
      </w:r>
      <w:r>
        <w:rPr>
          <w:color w:val="auto"/>
          <w:spacing w:val="-6"/>
          <w:highlight w:val="none"/>
          <w:lang w:eastAsia="zh-CN"/>
        </w:rPr>
        <w:t xml:space="preserve">的最大值计算；坡屋顶屋面坡度比大于 </w:t>
      </w:r>
      <w:r>
        <w:rPr>
          <w:rFonts w:ascii="Times New Roman" w:eastAsia="Times New Roman"/>
          <w:color w:val="auto"/>
          <w:highlight w:val="none"/>
          <w:lang w:eastAsia="zh-CN"/>
        </w:rPr>
        <w:t xml:space="preserve">1:2.5 </w:t>
      </w:r>
      <w:r>
        <w:rPr>
          <w:color w:val="auto"/>
          <w:spacing w:val="-3"/>
          <w:highlight w:val="none"/>
          <w:lang w:eastAsia="zh-CN"/>
        </w:rPr>
        <w:t>的坡顶建筑，建筑高度应按室外设计地坪至屋脊的高度计算。</w:t>
      </w:r>
    </w:p>
    <w:p w14:paraId="6AD7D7FA">
      <w:pPr>
        <w:pStyle w:val="11"/>
        <w:spacing w:before="4" w:line="381" w:lineRule="auto"/>
        <w:ind w:right="395" w:firstLine="559"/>
        <w:rPr>
          <w:rFonts w:hint="eastAsia"/>
          <w:color w:val="auto"/>
          <w:highlight w:val="none"/>
          <w:lang w:eastAsia="zh-CN"/>
        </w:rPr>
      </w:pPr>
      <w:r>
        <w:rPr>
          <w:rFonts w:hint="eastAsia" w:ascii="Times New Roman" w:eastAsia="Times New Roman"/>
          <w:color w:val="auto"/>
          <w:highlight w:val="none"/>
          <w:lang w:eastAsia="zh-CN"/>
        </w:rPr>
        <w:t>3.</w:t>
      </w:r>
      <w:r>
        <w:rPr>
          <w:color w:val="auto"/>
          <w:spacing w:val="-16"/>
          <w:highlight w:val="none"/>
          <w:lang w:eastAsia="zh-CN"/>
        </w:rPr>
        <w:t>当同一座建筑有多种屋面形式，或多个室外设计地坪时，建筑高度应分别</w:t>
      </w:r>
      <w:r>
        <w:rPr>
          <w:color w:val="auto"/>
          <w:spacing w:val="-3"/>
          <w:highlight w:val="none"/>
          <w:lang w:eastAsia="zh-CN"/>
        </w:rPr>
        <w:t>计算后取其中最大值。</w:t>
      </w:r>
    </w:p>
    <w:p w14:paraId="75858EB9">
      <w:pPr>
        <w:pStyle w:val="11"/>
        <w:spacing w:before="4" w:line="381" w:lineRule="auto"/>
        <w:ind w:right="396" w:firstLine="559"/>
        <w:jc w:val="both"/>
        <w:rPr>
          <w:rFonts w:hint="eastAsia"/>
          <w:color w:val="auto"/>
          <w:highlight w:val="none"/>
          <w:lang w:eastAsia="zh-CN"/>
        </w:rPr>
      </w:pPr>
      <w:r>
        <w:rPr>
          <w:rFonts w:hint="eastAsia" w:ascii="Times New Roman" w:eastAsia="Times New Roman"/>
          <w:color w:val="auto"/>
          <w:highlight w:val="none"/>
          <w:lang w:eastAsia="zh-CN"/>
        </w:rPr>
        <w:t>4.</w:t>
      </w:r>
      <w:r>
        <w:rPr>
          <w:color w:val="auto"/>
          <w:spacing w:val="-15"/>
          <w:highlight w:val="none"/>
          <w:lang w:eastAsia="zh-CN"/>
        </w:rPr>
        <w:t>屋顶上的附属物，如电梯间、楼梯间、水箱、烟囱等，其总面积不超过屋</w:t>
      </w:r>
      <w:r>
        <w:rPr>
          <w:color w:val="auto"/>
          <w:spacing w:val="-25"/>
          <w:highlight w:val="none"/>
          <w:lang w:eastAsia="zh-CN"/>
        </w:rPr>
        <w:t xml:space="preserve">顶面积的 </w:t>
      </w:r>
      <w:r>
        <w:rPr>
          <w:rFonts w:ascii="Times New Roman" w:eastAsia="Times New Roman"/>
          <w:color w:val="auto"/>
          <w:spacing w:val="-6"/>
          <w:highlight w:val="none"/>
          <w:lang w:eastAsia="zh-CN"/>
        </w:rPr>
        <w:t>25%</w:t>
      </w:r>
      <w:r>
        <w:rPr>
          <w:color w:val="auto"/>
          <w:spacing w:val="-11"/>
          <w:highlight w:val="none"/>
          <w:lang w:eastAsia="zh-CN"/>
        </w:rPr>
        <w:t xml:space="preserve">，且高度不超过 </w:t>
      </w:r>
      <w:r>
        <w:rPr>
          <w:rFonts w:ascii="Times New Roman" w:eastAsia="Times New Roman"/>
          <w:color w:val="auto"/>
          <w:highlight w:val="none"/>
          <w:lang w:eastAsia="zh-CN"/>
        </w:rPr>
        <w:t xml:space="preserve">4 </w:t>
      </w:r>
      <w:r>
        <w:rPr>
          <w:color w:val="auto"/>
          <w:spacing w:val="-9"/>
          <w:highlight w:val="none"/>
          <w:lang w:eastAsia="zh-CN"/>
        </w:rPr>
        <w:t>米的，不计入建筑高度之内。空调冷却塔、通信</w:t>
      </w:r>
      <w:r>
        <w:rPr>
          <w:color w:val="auto"/>
          <w:spacing w:val="-6"/>
          <w:highlight w:val="none"/>
          <w:lang w:eastAsia="zh-CN"/>
        </w:rPr>
        <w:t>设施等设备高度不计入建筑高度。</w:t>
      </w:r>
    </w:p>
    <w:p w14:paraId="1FC1479E">
      <w:pPr>
        <w:pStyle w:val="6"/>
        <w:keepNext w:val="0"/>
        <w:keepLines w:val="0"/>
        <w:spacing w:before="136" w:after="0"/>
        <w:ind w:left="662"/>
        <w:rPr>
          <w:rFonts w:hint="eastAsia" w:ascii="微软雅黑" w:hAnsi="微软雅黑" w:eastAsia="微软雅黑" w:cs="微软雅黑"/>
          <w:b/>
          <w:bCs/>
          <w:color w:val="auto"/>
          <w:sz w:val="28"/>
          <w:szCs w:val="28"/>
          <w:highlight w:val="none"/>
          <w:lang w:eastAsia="zh-CN"/>
        </w:rPr>
      </w:pPr>
      <w:r>
        <w:rPr>
          <w:rFonts w:ascii="微软雅黑" w:hAnsi="微软雅黑" w:eastAsia="微软雅黑" w:cs="微软雅黑"/>
          <w:b/>
          <w:bCs/>
          <w:color w:val="auto"/>
          <w:sz w:val="28"/>
          <w:szCs w:val="28"/>
          <w:highlight w:val="none"/>
          <w:lang w:eastAsia="zh-CN"/>
        </w:rPr>
        <w:t>（二）建筑层数</w:t>
      </w:r>
    </w:p>
    <w:p w14:paraId="54E54E57">
      <w:pPr>
        <w:pStyle w:val="11"/>
        <w:spacing w:before="144"/>
        <w:ind w:left="659"/>
        <w:rPr>
          <w:rFonts w:hint="eastAsia"/>
          <w:color w:val="auto"/>
          <w:highlight w:val="none"/>
          <w:lang w:eastAsia="zh-CN"/>
        </w:rPr>
      </w:pPr>
      <w:r>
        <w:rPr>
          <w:color w:val="auto"/>
          <w:highlight w:val="none"/>
          <w:lang w:eastAsia="zh-CN"/>
        </w:rPr>
        <w:t>建筑层数应按建筑的自然层数计算，下列空间可不计入建筑层数：</w:t>
      </w:r>
    </w:p>
    <w:p w14:paraId="7BFB468E">
      <w:pPr>
        <w:pStyle w:val="11"/>
        <w:spacing w:before="213"/>
        <w:ind w:left="659"/>
        <w:rPr>
          <w:rFonts w:hint="eastAsia"/>
          <w:color w:val="auto"/>
          <w:highlight w:val="none"/>
          <w:lang w:eastAsia="zh-CN"/>
        </w:rPr>
      </w:pPr>
      <w:r>
        <w:rPr>
          <w:rFonts w:hint="eastAsia" w:ascii="Times New Roman" w:eastAsia="Times New Roman"/>
          <w:color w:val="auto"/>
          <w:highlight w:val="none"/>
          <w:lang w:eastAsia="zh-CN"/>
        </w:rPr>
        <w:t>1.</w:t>
      </w:r>
      <w:r>
        <w:rPr>
          <w:color w:val="auto"/>
          <w:highlight w:val="none"/>
          <w:lang w:eastAsia="zh-CN"/>
        </w:rPr>
        <w:t xml:space="preserve">室内顶板面高出室外设计地面的高度不大于 </w:t>
      </w:r>
      <w:r>
        <w:rPr>
          <w:rFonts w:ascii="Times New Roman" w:eastAsia="Times New Roman"/>
          <w:color w:val="auto"/>
          <w:highlight w:val="none"/>
          <w:lang w:eastAsia="zh-CN"/>
        </w:rPr>
        <w:t xml:space="preserve">1.5 </w:t>
      </w:r>
      <w:r>
        <w:rPr>
          <w:color w:val="auto"/>
          <w:highlight w:val="none"/>
          <w:lang w:eastAsia="zh-CN"/>
        </w:rPr>
        <w:t>米的地下或半地下室。</w:t>
      </w:r>
    </w:p>
    <w:p w14:paraId="71CEA573">
      <w:pPr>
        <w:pStyle w:val="11"/>
        <w:spacing w:before="212"/>
        <w:ind w:left="659"/>
        <w:rPr>
          <w:rFonts w:hint="eastAsia"/>
          <w:color w:val="auto"/>
          <w:highlight w:val="none"/>
          <w:lang w:eastAsia="zh-CN"/>
        </w:rPr>
      </w:pPr>
      <w:r>
        <w:rPr>
          <w:rFonts w:hint="eastAsia" w:ascii="Times New Roman" w:eastAsia="Times New Roman"/>
          <w:color w:val="auto"/>
          <w:highlight w:val="none"/>
          <w:lang w:eastAsia="zh-CN"/>
        </w:rPr>
        <w:t>2.</w:t>
      </w:r>
      <w:r>
        <w:rPr>
          <w:color w:val="auto"/>
          <w:spacing w:val="-17"/>
          <w:highlight w:val="none"/>
          <w:lang w:eastAsia="zh-CN"/>
        </w:rPr>
        <w:t xml:space="preserve">设置在建筑底部且室内高度不大于 </w:t>
      </w:r>
      <w:r>
        <w:rPr>
          <w:rFonts w:ascii="Times New Roman" w:eastAsia="Times New Roman"/>
          <w:color w:val="auto"/>
          <w:highlight w:val="none"/>
          <w:lang w:eastAsia="zh-CN"/>
        </w:rPr>
        <w:t xml:space="preserve">2.2 </w:t>
      </w:r>
      <w:r>
        <w:rPr>
          <w:color w:val="auto"/>
          <w:spacing w:val="-21"/>
          <w:highlight w:val="none"/>
          <w:lang w:eastAsia="zh-CN"/>
        </w:rPr>
        <w:t>米的自行车库、储藏室、敞开空间。</w:t>
      </w:r>
    </w:p>
    <w:p w14:paraId="1FAE3453">
      <w:pPr>
        <w:pStyle w:val="11"/>
        <w:spacing w:before="213"/>
        <w:ind w:left="659"/>
        <w:rPr>
          <w:rFonts w:hint="eastAsia"/>
          <w:color w:val="auto"/>
          <w:highlight w:val="none"/>
          <w:lang w:eastAsia="zh-CN"/>
        </w:rPr>
      </w:pPr>
      <w:r>
        <w:rPr>
          <w:rFonts w:hint="eastAsia" w:ascii="Times New Roman" w:eastAsia="Times New Roman"/>
          <w:color w:val="auto"/>
          <w:highlight w:val="none"/>
          <w:lang w:eastAsia="zh-CN"/>
        </w:rPr>
        <w:t>3.</w:t>
      </w:r>
      <w:r>
        <w:rPr>
          <w:color w:val="auto"/>
          <w:highlight w:val="none"/>
          <w:lang w:eastAsia="zh-CN"/>
        </w:rPr>
        <w:t>建筑屋顶上突出的局部设备用房、出屋面的楼梯间等。</w:t>
      </w:r>
    </w:p>
    <w:p w14:paraId="3E9334F4">
      <w:pPr>
        <w:pStyle w:val="5"/>
        <w:keepNext w:val="0"/>
        <w:keepLines w:val="0"/>
        <w:spacing w:before="0" w:after="0"/>
        <w:ind w:right="296"/>
        <w:jc w:val="center"/>
        <w:rPr>
          <w:rFonts w:ascii="微软雅黑" w:hAnsi="微软雅黑" w:eastAsia="微软雅黑" w:cs="微软雅黑"/>
          <w:b/>
          <w:bCs/>
          <w:color w:val="auto"/>
          <w:sz w:val="30"/>
          <w:szCs w:val="30"/>
          <w:highlight w:val="none"/>
          <w:lang w:eastAsia="zh-CN"/>
        </w:rPr>
      </w:pPr>
      <w:bookmarkStart w:id="50" w:name="_bookmark32"/>
      <w:bookmarkEnd w:id="50"/>
    </w:p>
    <w:p w14:paraId="7A07961A">
      <w:pPr>
        <w:pStyle w:val="5"/>
        <w:keepNext w:val="0"/>
        <w:keepLines w:val="0"/>
        <w:spacing w:before="0" w:after="0"/>
        <w:ind w:right="296"/>
        <w:jc w:val="center"/>
        <w:rPr>
          <w:rFonts w:hint="eastAsia" w:ascii="微软雅黑" w:hAnsi="微软雅黑" w:eastAsia="微软雅黑" w:cs="微软雅黑"/>
          <w:b/>
          <w:bCs/>
          <w:color w:val="auto"/>
          <w:sz w:val="30"/>
          <w:szCs w:val="30"/>
          <w:highlight w:val="none"/>
          <w:lang w:eastAsia="zh-CN"/>
        </w:rPr>
      </w:pPr>
      <w:r>
        <w:rPr>
          <w:rFonts w:ascii="微软雅黑" w:hAnsi="微软雅黑" w:eastAsia="微软雅黑" w:cs="微软雅黑"/>
          <w:b/>
          <w:bCs/>
          <w:color w:val="auto"/>
          <w:sz w:val="30"/>
          <w:szCs w:val="30"/>
          <w:highlight w:val="none"/>
          <w:lang w:eastAsia="zh-CN"/>
        </w:rPr>
        <w:t>附录三 参照的法律法规、政策文件和标准规范</w:t>
      </w:r>
    </w:p>
    <w:p w14:paraId="10165244">
      <w:pPr>
        <w:pStyle w:val="6"/>
        <w:keepNext w:val="0"/>
        <w:keepLines w:val="0"/>
        <w:pageBreakBefore w:val="0"/>
        <w:widowControl w:val="0"/>
        <w:kinsoku/>
        <w:wordWrap/>
        <w:overflowPunct/>
        <w:topLinePunct w:val="0"/>
        <w:autoSpaceDE w:val="0"/>
        <w:autoSpaceDN w:val="0"/>
        <w:bidi w:val="0"/>
        <w:adjustRightInd/>
        <w:snapToGrid/>
        <w:spacing w:before="136" w:after="0" w:line="360" w:lineRule="auto"/>
        <w:ind w:left="662"/>
        <w:textAlignment w:val="auto"/>
        <w:rPr>
          <w:rFonts w:hint="eastAsia" w:ascii="微软雅黑" w:hAnsi="微软雅黑" w:eastAsia="微软雅黑" w:cs="微软雅黑"/>
          <w:b/>
          <w:bCs/>
          <w:color w:val="auto"/>
          <w:sz w:val="28"/>
          <w:szCs w:val="28"/>
          <w:highlight w:val="none"/>
        </w:rPr>
      </w:pPr>
      <w:r>
        <w:rPr>
          <w:rFonts w:ascii="微软雅黑" w:hAnsi="微软雅黑" w:eastAsia="微软雅黑" w:cs="微软雅黑"/>
          <w:b/>
          <w:bCs/>
          <w:color w:val="auto"/>
          <w:sz w:val="28"/>
          <w:szCs w:val="28"/>
          <w:highlight w:val="none"/>
        </w:rPr>
        <w:t>（一）法律法规</w:t>
      </w:r>
    </w:p>
    <w:p w14:paraId="435EC70E">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147"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《中华人民共和国土地管理法》</w:t>
      </w:r>
      <w:r>
        <w:rPr>
          <w:color w:val="auto"/>
          <w:sz w:val="28"/>
          <w:highlight w:val="none"/>
          <w:lang w:eastAsia="zh-CN"/>
        </w:rPr>
        <w:t>（</w:t>
      </w:r>
      <w:r>
        <w:rPr>
          <w:rFonts w:ascii="Times New Roman" w:eastAsia="Times New Roman"/>
          <w:color w:val="auto"/>
          <w:sz w:val="28"/>
          <w:highlight w:val="none"/>
          <w:lang w:eastAsia="zh-CN"/>
        </w:rPr>
        <w:t>2019</w:t>
      </w:r>
      <w:r>
        <w:rPr>
          <w:color w:val="auto"/>
          <w:spacing w:val="-1"/>
          <w:sz w:val="28"/>
          <w:highlight w:val="none"/>
          <w:lang w:eastAsia="zh-CN"/>
        </w:rPr>
        <w:t>年修</w:t>
      </w:r>
      <w:r>
        <w:rPr>
          <w:rFonts w:hint="eastAsia"/>
          <w:color w:val="auto"/>
          <w:spacing w:val="-1"/>
          <w:sz w:val="28"/>
          <w:highlight w:val="none"/>
          <w:lang w:val="en-US" w:eastAsia="zh-CN"/>
        </w:rPr>
        <w:t>正</w:t>
      </w:r>
      <w:r>
        <w:rPr>
          <w:color w:val="auto"/>
          <w:sz w:val="28"/>
          <w:highlight w:val="none"/>
          <w:lang w:eastAsia="zh-CN"/>
        </w:rPr>
        <w:t>）；</w:t>
      </w:r>
    </w:p>
    <w:p w14:paraId="26074173">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《中华人民共和国城乡规划法》</w:t>
      </w:r>
      <w:r>
        <w:rPr>
          <w:color w:val="auto"/>
          <w:sz w:val="28"/>
          <w:highlight w:val="none"/>
          <w:lang w:eastAsia="zh-CN"/>
        </w:rPr>
        <w:t>（</w:t>
      </w:r>
      <w:r>
        <w:rPr>
          <w:rFonts w:ascii="Times New Roman" w:eastAsia="Times New Roman"/>
          <w:color w:val="auto"/>
          <w:sz w:val="28"/>
          <w:highlight w:val="none"/>
          <w:lang w:eastAsia="zh-CN"/>
        </w:rPr>
        <w:t>2019</w:t>
      </w:r>
      <w:r>
        <w:rPr>
          <w:color w:val="auto"/>
          <w:spacing w:val="-1"/>
          <w:sz w:val="28"/>
          <w:highlight w:val="none"/>
          <w:lang w:eastAsia="zh-CN"/>
        </w:rPr>
        <w:t>年修正</w:t>
      </w:r>
      <w:r>
        <w:rPr>
          <w:color w:val="auto"/>
          <w:sz w:val="28"/>
          <w:highlight w:val="none"/>
          <w:lang w:eastAsia="zh-CN"/>
        </w:rPr>
        <w:t>）；</w:t>
      </w:r>
    </w:p>
    <w:p w14:paraId="7F6698B0">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《中华人民共和国乡村振兴促进法》</w:t>
      </w:r>
      <w:r>
        <w:rPr>
          <w:color w:val="auto"/>
          <w:sz w:val="28"/>
          <w:highlight w:val="none"/>
          <w:lang w:eastAsia="zh-CN"/>
        </w:rPr>
        <w:t>（</w:t>
      </w:r>
      <w:r>
        <w:rPr>
          <w:rFonts w:ascii="Times New Roman" w:eastAsia="Times New Roman"/>
          <w:color w:val="auto"/>
          <w:sz w:val="28"/>
          <w:highlight w:val="none"/>
          <w:lang w:eastAsia="zh-CN"/>
        </w:rPr>
        <w:t>2021</w:t>
      </w:r>
      <w:r>
        <w:rPr>
          <w:color w:val="auto"/>
          <w:spacing w:val="-35"/>
          <w:sz w:val="28"/>
          <w:highlight w:val="none"/>
          <w:lang w:eastAsia="zh-CN"/>
        </w:rPr>
        <w:t xml:space="preserve">年 </w:t>
      </w:r>
      <w:r>
        <w:rPr>
          <w:rFonts w:ascii="Times New Roman" w:eastAsia="Times New Roman"/>
          <w:color w:val="auto"/>
          <w:sz w:val="28"/>
          <w:highlight w:val="none"/>
          <w:lang w:eastAsia="zh-CN"/>
        </w:rPr>
        <w:t>6</w:t>
      </w:r>
      <w:r>
        <w:rPr>
          <w:color w:val="auto"/>
          <w:spacing w:val="-35"/>
          <w:sz w:val="28"/>
          <w:highlight w:val="none"/>
          <w:lang w:eastAsia="zh-CN"/>
        </w:rPr>
        <w:t xml:space="preserve">月 </w:t>
      </w:r>
      <w:r>
        <w:rPr>
          <w:rFonts w:ascii="Times New Roman" w:eastAsia="Times New Roman"/>
          <w:color w:val="auto"/>
          <w:sz w:val="28"/>
          <w:highlight w:val="none"/>
          <w:lang w:eastAsia="zh-CN"/>
        </w:rPr>
        <w:t>1</w:t>
      </w:r>
      <w:r>
        <w:rPr>
          <w:color w:val="auto"/>
          <w:spacing w:val="-2"/>
          <w:sz w:val="28"/>
          <w:highlight w:val="none"/>
          <w:lang w:eastAsia="zh-CN"/>
        </w:rPr>
        <w:t>日起施行</w:t>
      </w:r>
      <w:r>
        <w:rPr>
          <w:color w:val="auto"/>
          <w:sz w:val="28"/>
          <w:highlight w:val="none"/>
          <w:lang w:eastAsia="zh-CN"/>
        </w:rPr>
        <w:t>）；</w:t>
      </w:r>
    </w:p>
    <w:p w14:paraId="1DFC95D2">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《中华人民共和国环境保护法》</w:t>
      </w:r>
      <w:r>
        <w:rPr>
          <w:color w:val="auto"/>
          <w:sz w:val="28"/>
          <w:highlight w:val="none"/>
          <w:lang w:eastAsia="zh-CN"/>
        </w:rPr>
        <w:t>（</w:t>
      </w:r>
      <w:r>
        <w:rPr>
          <w:rFonts w:ascii="Times New Roman" w:eastAsia="Times New Roman"/>
          <w:color w:val="auto"/>
          <w:sz w:val="28"/>
          <w:highlight w:val="none"/>
          <w:lang w:eastAsia="zh-CN"/>
        </w:rPr>
        <w:t>2014</w:t>
      </w:r>
      <w:r>
        <w:rPr>
          <w:color w:val="auto"/>
          <w:spacing w:val="-1"/>
          <w:sz w:val="28"/>
          <w:highlight w:val="none"/>
          <w:lang w:eastAsia="zh-CN"/>
        </w:rPr>
        <w:t>年修订</w:t>
      </w:r>
      <w:r>
        <w:rPr>
          <w:color w:val="auto"/>
          <w:sz w:val="28"/>
          <w:highlight w:val="none"/>
          <w:lang w:eastAsia="zh-CN"/>
        </w:rPr>
        <w:t>）；</w:t>
      </w:r>
    </w:p>
    <w:p w14:paraId="7E0C52C1">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《中华人民共和国水法》</w:t>
      </w:r>
      <w:r>
        <w:rPr>
          <w:color w:val="auto"/>
          <w:sz w:val="28"/>
          <w:highlight w:val="none"/>
          <w:lang w:eastAsia="zh-CN"/>
        </w:rPr>
        <w:t>（</w:t>
      </w:r>
      <w:r>
        <w:rPr>
          <w:rFonts w:ascii="Times New Roman" w:eastAsia="Times New Roman"/>
          <w:color w:val="auto"/>
          <w:sz w:val="28"/>
          <w:highlight w:val="none"/>
          <w:lang w:eastAsia="zh-CN"/>
        </w:rPr>
        <w:t>2016</w:t>
      </w:r>
      <w:r>
        <w:rPr>
          <w:color w:val="auto"/>
          <w:spacing w:val="-2"/>
          <w:sz w:val="28"/>
          <w:highlight w:val="none"/>
          <w:lang w:eastAsia="zh-CN"/>
        </w:rPr>
        <w:t>年修正</w:t>
      </w:r>
      <w:r>
        <w:rPr>
          <w:color w:val="auto"/>
          <w:sz w:val="28"/>
          <w:highlight w:val="none"/>
          <w:lang w:eastAsia="zh-CN"/>
        </w:rPr>
        <w:t>）；</w:t>
      </w:r>
    </w:p>
    <w:p w14:paraId="39CFC288">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《中华人民共和国文物保护法》</w:t>
      </w:r>
      <w:r>
        <w:rPr>
          <w:color w:val="auto"/>
          <w:sz w:val="28"/>
          <w:highlight w:val="none"/>
          <w:lang w:eastAsia="zh-CN"/>
        </w:rPr>
        <w:t>（</w:t>
      </w:r>
      <w:r>
        <w:rPr>
          <w:rFonts w:ascii="Times New Roman" w:eastAsia="Times New Roman"/>
          <w:color w:val="auto"/>
          <w:sz w:val="28"/>
          <w:highlight w:val="none"/>
          <w:lang w:eastAsia="zh-CN"/>
        </w:rPr>
        <w:t>2024</w:t>
      </w:r>
      <w:r>
        <w:rPr>
          <w:color w:val="auto"/>
          <w:spacing w:val="-1"/>
          <w:sz w:val="28"/>
          <w:highlight w:val="none"/>
          <w:lang w:eastAsia="zh-CN"/>
        </w:rPr>
        <w:t>年修订</w:t>
      </w:r>
      <w:r>
        <w:rPr>
          <w:color w:val="auto"/>
          <w:sz w:val="28"/>
          <w:highlight w:val="none"/>
          <w:lang w:eastAsia="zh-CN"/>
        </w:rPr>
        <w:t>）；</w:t>
      </w:r>
    </w:p>
    <w:p w14:paraId="72669E2A">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《中华人民共和国水污染防治法》</w:t>
      </w:r>
      <w:r>
        <w:rPr>
          <w:color w:val="auto"/>
          <w:sz w:val="28"/>
          <w:highlight w:val="none"/>
          <w:lang w:eastAsia="zh-CN"/>
        </w:rPr>
        <w:t>（</w:t>
      </w:r>
      <w:r>
        <w:rPr>
          <w:rFonts w:ascii="Times New Roman" w:eastAsia="Times New Roman"/>
          <w:color w:val="auto"/>
          <w:sz w:val="28"/>
          <w:highlight w:val="none"/>
          <w:lang w:eastAsia="zh-CN"/>
        </w:rPr>
        <w:t>2017</w:t>
      </w:r>
      <w:r>
        <w:rPr>
          <w:color w:val="auto"/>
          <w:spacing w:val="-2"/>
          <w:sz w:val="28"/>
          <w:highlight w:val="none"/>
          <w:lang w:eastAsia="zh-CN"/>
        </w:rPr>
        <w:t>年修正</w:t>
      </w:r>
      <w:r>
        <w:rPr>
          <w:color w:val="auto"/>
          <w:sz w:val="28"/>
          <w:highlight w:val="none"/>
          <w:lang w:eastAsia="zh-CN"/>
        </w:rPr>
        <w:t>）；</w:t>
      </w:r>
    </w:p>
    <w:p w14:paraId="65CEAB64">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《中华人民共和国土壤污染防治法》</w:t>
      </w:r>
      <w:r>
        <w:rPr>
          <w:color w:val="auto"/>
          <w:sz w:val="28"/>
          <w:highlight w:val="none"/>
          <w:lang w:eastAsia="zh-CN"/>
        </w:rPr>
        <w:t>（</w:t>
      </w:r>
      <w:r>
        <w:rPr>
          <w:rFonts w:ascii="Times New Roman" w:eastAsia="Times New Roman"/>
          <w:color w:val="auto"/>
          <w:sz w:val="28"/>
          <w:highlight w:val="none"/>
          <w:lang w:eastAsia="zh-CN"/>
        </w:rPr>
        <w:t>2019</w:t>
      </w:r>
      <w:r>
        <w:rPr>
          <w:rFonts w:ascii="Times New Roman" w:eastAsia="Times New Roman"/>
          <w:color w:val="auto"/>
          <w:spacing w:val="1"/>
          <w:sz w:val="28"/>
          <w:highlight w:val="none"/>
          <w:lang w:eastAsia="zh-CN"/>
        </w:rPr>
        <w:t xml:space="preserve"> </w:t>
      </w:r>
      <w:r>
        <w:rPr>
          <w:color w:val="auto"/>
          <w:spacing w:val="-35"/>
          <w:sz w:val="28"/>
          <w:highlight w:val="none"/>
          <w:lang w:eastAsia="zh-CN"/>
        </w:rPr>
        <w:t xml:space="preserve">年 </w:t>
      </w:r>
      <w:r>
        <w:rPr>
          <w:rFonts w:ascii="Times New Roman" w:eastAsia="Times New Roman"/>
          <w:color w:val="auto"/>
          <w:sz w:val="28"/>
          <w:highlight w:val="none"/>
          <w:lang w:eastAsia="zh-CN"/>
        </w:rPr>
        <w:t>1</w:t>
      </w:r>
      <w:r>
        <w:rPr>
          <w:color w:val="auto"/>
          <w:spacing w:val="-35"/>
          <w:sz w:val="28"/>
          <w:highlight w:val="none"/>
          <w:lang w:eastAsia="zh-CN"/>
        </w:rPr>
        <w:t xml:space="preserve">月 </w:t>
      </w:r>
      <w:r>
        <w:rPr>
          <w:rFonts w:ascii="Times New Roman" w:eastAsia="Times New Roman"/>
          <w:color w:val="auto"/>
          <w:sz w:val="28"/>
          <w:highlight w:val="none"/>
          <w:lang w:eastAsia="zh-CN"/>
        </w:rPr>
        <w:t>1</w:t>
      </w:r>
      <w:r>
        <w:rPr>
          <w:color w:val="auto"/>
          <w:spacing w:val="-2"/>
          <w:sz w:val="28"/>
          <w:highlight w:val="none"/>
          <w:lang w:eastAsia="zh-CN"/>
        </w:rPr>
        <w:t>日起施行</w:t>
      </w:r>
      <w:r>
        <w:rPr>
          <w:color w:val="auto"/>
          <w:sz w:val="28"/>
          <w:highlight w:val="none"/>
          <w:lang w:eastAsia="zh-CN"/>
        </w:rPr>
        <w:t>）；</w:t>
      </w:r>
    </w:p>
    <w:p w14:paraId="4491F82A">
      <w:pPr>
        <w:pStyle w:val="37"/>
        <w:keepNext w:val="0"/>
        <w:keepLines w:val="0"/>
        <w:pageBreakBefore w:val="0"/>
        <w:widowControl w:val="0"/>
        <w:numPr>
          <w:ilvl w:val="0"/>
          <w:numId w:val="3"/>
        </w:numPr>
        <w:tabs>
          <w:tab w:val="left" w:pos="1079"/>
          <w:tab w:val="left" w:pos="1080"/>
        </w:tabs>
        <w:kinsoku/>
        <w:wordWrap/>
        <w:overflowPunct/>
        <w:topLinePunct w:val="0"/>
        <w:autoSpaceDE w:val="0"/>
        <w:autoSpaceDN w:val="0"/>
        <w:bidi w:val="0"/>
        <w:adjustRightInd/>
        <w:snapToGrid/>
        <w:spacing w:before="215"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《中华人民共和国畜牧法》</w:t>
      </w:r>
      <w:r>
        <w:rPr>
          <w:color w:val="auto"/>
          <w:sz w:val="28"/>
          <w:highlight w:val="none"/>
          <w:lang w:eastAsia="zh-CN"/>
        </w:rPr>
        <w:t>（</w:t>
      </w:r>
      <w:r>
        <w:rPr>
          <w:rFonts w:ascii="Times New Roman" w:eastAsia="Times New Roman"/>
          <w:color w:val="auto"/>
          <w:sz w:val="28"/>
          <w:highlight w:val="none"/>
          <w:lang w:eastAsia="zh-CN"/>
        </w:rPr>
        <w:t>2023</w:t>
      </w:r>
      <w:r>
        <w:rPr>
          <w:color w:val="auto"/>
          <w:spacing w:val="-37"/>
          <w:sz w:val="28"/>
          <w:highlight w:val="none"/>
          <w:lang w:eastAsia="zh-CN"/>
        </w:rPr>
        <w:t xml:space="preserve">年 </w:t>
      </w:r>
      <w:r>
        <w:rPr>
          <w:rFonts w:ascii="Times New Roman" w:eastAsia="Times New Roman"/>
          <w:color w:val="auto"/>
          <w:sz w:val="28"/>
          <w:highlight w:val="none"/>
          <w:lang w:eastAsia="zh-CN"/>
        </w:rPr>
        <w:t>3</w:t>
      </w:r>
      <w:r>
        <w:rPr>
          <w:color w:val="auto"/>
          <w:spacing w:val="-36"/>
          <w:sz w:val="28"/>
          <w:highlight w:val="none"/>
          <w:lang w:eastAsia="zh-CN"/>
        </w:rPr>
        <w:t xml:space="preserve">月 </w:t>
      </w:r>
      <w:r>
        <w:rPr>
          <w:rFonts w:ascii="Times New Roman" w:eastAsia="Times New Roman"/>
          <w:color w:val="auto"/>
          <w:sz w:val="28"/>
          <w:highlight w:val="none"/>
          <w:lang w:eastAsia="zh-CN"/>
        </w:rPr>
        <w:t>1</w:t>
      </w:r>
      <w:r>
        <w:rPr>
          <w:color w:val="auto"/>
          <w:spacing w:val="-3"/>
          <w:sz w:val="28"/>
          <w:highlight w:val="none"/>
          <w:lang w:eastAsia="zh-CN"/>
        </w:rPr>
        <w:t>日起施行</w:t>
      </w:r>
      <w:r>
        <w:rPr>
          <w:color w:val="auto"/>
          <w:sz w:val="28"/>
          <w:highlight w:val="none"/>
          <w:lang w:eastAsia="zh-CN"/>
        </w:rPr>
        <w:t>）；</w:t>
      </w:r>
    </w:p>
    <w:p w14:paraId="2EEA3F1F">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《中华人民共和国土地管理法实施条例》</w:t>
      </w:r>
      <w:r>
        <w:rPr>
          <w:color w:val="auto"/>
          <w:sz w:val="28"/>
          <w:highlight w:val="none"/>
          <w:lang w:eastAsia="zh-CN"/>
        </w:rPr>
        <w:t>（</w:t>
      </w:r>
      <w:r>
        <w:rPr>
          <w:rFonts w:ascii="Times New Roman" w:eastAsia="Times New Roman"/>
          <w:color w:val="auto"/>
          <w:sz w:val="28"/>
          <w:highlight w:val="none"/>
          <w:lang w:eastAsia="zh-CN"/>
        </w:rPr>
        <w:t>2021</w:t>
      </w:r>
      <w:r>
        <w:rPr>
          <w:color w:val="auto"/>
          <w:spacing w:val="-1"/>
          <w:sz w:val="28"/>
          <w:highlight w:val="none"/>
          <w:lang w:eastAsia="zh-CN"/>
        </w:rPr>
        <w:t>年修订</w:t>
      </w:r>
      <w:r>
        <w:rPr>
          <w:color w:val="auto"/>
          <w:sz w:val="28"/>
          <w:highlight w:val="none"/>
          <w:lang w:eastAsia="zh-CN"/>
        </w:rPr>
        <w:t>）；</w:t>
      </w:r>
    </w:p>
    <w:p w14:paraId="20B1F9EB">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《中华人民共和国森林法》</w:t>
      </w:r>
      <w:r>
        <w:rPr>
          <w:rFonts w:hint="eastAsia"/>
          <w:sz w:val="28"/>
          <w:highlight w:val="none"/>
          <w:lang w:eastAsia="zh-CN"/>
        </w:rPr>
        <w:t>（</w:t>
      </w:r>
      <w:r>
        <w:rPr>
          <w:rFonts w:ascii="Times New Roman" w:eastAsia="Times New Roman"/>
          <w:sz w:val="28"/>
          <w:highlight w:val="none"/>
          <w:lang w:eastAsia="zh-CN"/>
        </w:rPr>
        <w:t>2019</w:t>
      </w:r>
      <w:r>
        <w:rPr>
          <w:rFonts w:hint="eastAsia"/>
          <w:spacing w:val="0"/>
          <w:sz w:val="28"/>
          <w:highlight w:val="none"/>
          <w:lang w:val="en-US" w:eastAsia="zh-CN"/>
        </w:rPr>
        <w:t>年</w:t>
      </w:r>
      <w:r>
        <w:rPr>
          <w:spacing w:val="0"/>
          <w:sz w:val="28"/>
          <w:highlight w:val="none"/>
          <w:lang w:eastAsia="zh-CN"/>
        </w:rPr>
        <w:t>修订</w:t>
      </w:r>
      <w:r>
        <w:rPr>
          <w:rFonts w:hint="eastAsia"/>
          <w:sz w:val="28"/>
          <w:highlight w:val="none"/>
          <w:lang w:eastAsia="zh-CN"/>
        </w:rPr>
        <w:t>）</w:t>
      </w:r>
      <w:r>
        <w:rPr>
          <w:rFonts w:hint="eastAsia"/>
          <w:color w:val="auto"/>
          <w:spacing w:val="-3"/>
          <w:sz w:val="28"/>
          <w:highlight w:val="none"/>
          <w:lang w:eastAsia="zh-CN"/>
        </w:rPr>
        <w:t>；</w:t>
      </w:r>
    </w:p>
    <w:p w14:paraId="5E30FA94">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《中华人民共和国草原法》</w:t>
      </w:r>
      <w:r>
        <w:rPr>
          <w:rFonts w:hint="eastAsia" w:ascii="Times New Roman" w:hAnsi="Times New Roman"/>
          <w:sz w:val="28"/>
          <w:highlight w:val="none"/>
          <w:lang w:eastAsia="zh-CN"/>
        </w:rPr>
        <w:t>（</w:t>
      </w:r>
      <w:r>
        <w:rPr>
          <w:rFonts w:hint="eastAsia" w:ascii="Times New Roman" w:hAnsi="Times New Roman"/>
          <w:sz w:val="28"/>
          <w:highlight w:val="none"/>
          <w:lang w:val="en-US" w:eastAsia="zh-CN"/>
        </w:rPr>
        <w:t>2021年修正</w:t>
      </w:r>
      <w:r>
        <w:rPr>
          <w:rFonts w:hint="eastAsia" w:ascii="Times New Roman" w:hAnsi="Times New Roman"/>
          <w:sz w:val="28"/>
          <w:highlight w:val="none"/>
          <w:lang w:eastAsia="zh-CN"/>
        </w:rPr>
        <w:t>）</w:t>
      </w:r>
      <w:r>
        <w:rPr>
          <w:rFonts w:hint="eastAsia"/>
          <w:color w:val="auto"/>
          <w:spacing w:val="-3"/>
          <w:sz w:val="28"/>
          <w:highlight w:val="none"/>
          <w:lang w:eastAsia="zh-CN"/>
        </w:rPr>
        <w:t>；</w:t>
      </w:r>
    </w:p>
    <w:p w14:paraId="3E789477">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《中华人民共和国湿地保护法》</w:t>
      </w:r>
      <w:r>
        <w:rPr>
          <w:rFonts w:hint="eastAsia" w:ascii="Times New Roman" w:hAnsi="Times New Roman"/>
          <w:sz w:val="28"/>
          <w:highlight w:val="none"/>
          <w:lang w:eastAsia="zh-CN"/>
        </w:rPr>
        <w:t>（</w:t>
      </w:r>
      <w:r>
        <w:rPr>
          <w:rFonts w:hint="eastAsia" w:ascii="Times New Roman" w:hAnsi="Times New Roman"/>
          <w:sz w:val="28"/>
          <w:highlight w:val="none"/>
          <w:lang w:val="en-US" w:eastAsia="zh-CN"/>
        </w:rPr>
        <w:t>2022年6月1日起实施</w:t>
      </w:r>
      <w:r>
        <w:rPr>
          <w:rFonts w:hint="eastAsia" w:ascii="Times New Roman" w:hAnsi="Times New Roman"/>
          <w:sz w:val="28"/>
          <w:highlight w:val="none"/>
          <w:lang w:eastAsia="zh-CN"/>
        </w:rPr>
        <w:t>）</w:t>
      </w:r>
      <w:r>
        <w:rPr>
          <w:rFonts w:hint="eastAsia"/>
          <w:color w:val="auto"/>
          <w:spacing w:val="-3"/>
          <w:sz w:val="28"/>
          <w:highlight w:val="none"/>
          <w:lang w:eastAsia="zh-CN"/>
        </w:rPr>
        <w:t>；</w:t>
      </w:r>
    </w:p>
    <w:p w14:paraId="2A0C8018">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《风景名胜区条例》</w:t>
      </w:r>
      <w:r>
        <w:rPr>
          <w:rFonts w:hint="eastAsia" w:ascii="Times New Roman" w:hAnsi="Times New Roman"/>
          <w:sz w:val="28"/>
          <w:highlight w:val="none"/>
          <w:lang w:eastAsia="zh-CN"/>
        </w:rPr>
        <w:t>（</w:t>
      </w:r>
      <w:r>
        <w:rPr>
          <w:rFonts w:hint="eastAsia" w:ascii="Times New Roman" w:hAnsi="Times New Roman"/>
          <w:sz w:val="28"/>
          <w:highlight w:val="none"/>
          <w:lang w:val="en-US" w:eastAsia="zh-CN"/>
        </w:rPr>
        <w:t>2016年修订</w:t>
      </w:r>
      <w:r>
        <w:rPr>
          <w:rFonts w:hint="eastAsia" w:ascii="Times New Roman" w:hAnsi="Times New Roman"/>
          <w:sz w:val="28"/>
          <w:highlight w:val="none"/>
          <w:lang w:eastAsia="zh-CN"/>
        </w:rPr>
        <w:t>）</w:t>
      </w:r>
      <w:r>
        <w:rPr>
          <w:rFonts w:hint="eastAsia"/>
          <w:color w:val="auto"/>
          <w:spacing w:val="-3"/>
          <w:sz w:val="28"/>
          <w:highlight w:val="none"/>
          <w:lang w:val="en-US" w:eastAsia="zh-CN"/>
        </w:rPr>
        <w:t>;</w:t>
      </w:r>
    </w:p>
    <w:p w14:paraId="6B845642">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《基本农田保护条例》（</w:t>
      </w:r>
      <w:r>
        <w:rPr>
          <w:rFonts w:ascii="Times New Roman" w:eastAsia="Times New Roman"/>
          <w:color w:val="auto"/>
          <w:spacing w:val="-3"/>
          <w:sz w:val="28"/>
          <w:highlight w:val="none"/>
          <w:lang w:eastAsia="zh-CN"/>
        </w:rPr>
        <w:t>2011</w:t>
      </w:r>
      <w:r>
        <w:rPr>
          <w:color w:val="auto"/>
          <w:spacing w:val="-2"/>
          <w:sz w:val="28"/>
          <w:highlight w:val="none"/>
          <w:lang w:eastAsia="zh-CN"/>
        </w:rPr>
        <w:t>修订</w:t>
      </w:r>
      <w:r>
        <w:rPr>
          <w:color w:val="auto"/>
          <w:sz w:val="28"/>
          <w:highlight w:val="none"/>
          <w:lang w:eastAsia="zh-CN"/>
        </w:rPr>
        <w:t>）；</w:t>
      </w:r>
    </w:p>
    <w:p w14:paraId="5C9E238E">
      <w:pPr>
        <w:pStyle w:val="49"/>
        <w:numPr>
          <w:ilvl w:val="0"/>
          <w:numId w:val="3"/>
        </w:numPr>
        <w:tabs>
          <w:tab w:val="left" w:pos="1080"/>
        </w:tabs>
        <w:spacing w:before="213"/>
        <w:ind w:hanging="421"/>
        <w:contextualSpacing w:val="0"/>
        <w:rPr>
          <w:rFonts w:hint="eastAsia"/>
          <w:color w:val="auto"/>
          <w:sz w:val="28"/>
          <w:highlight w:val="none"/>
          <w:lang w:eastAsia="zh-CN"/>
        </w:rPr>
      </w:pPr>
      <w:r>
        <w:rPr>
          <w:rFonts w:hint="default" w:ascii="Times New Roman" w:hAnsi="Times New Roman"/>
          <w:sz w:val="28"/>
          <w:highlight w:val="none"/>
          <w:lang w:eastAsia="zh-CN"/>
        </w:rPr>
        <w:t>《</w:t>
      </w:r>
      <w:r>
        <w:rPr>
          <w:rStyle w:val="21"/>
          <w:rFonts w:hint="default" w:ascii="Times New Roman" w:hAnsi="Times New Roman" w:eastAsia="仿宋" w:cs="仿宋"/>
          <w:i w:val="0"/>
          <w:iCs w:val="0"/>
          <w:caps w:val="0"/>
          <w:color w:val="333333"/>
          <w:spacing w:val="0"/>
          <w:sz w:val="28"/>
          <w:szCs w:val="22"/>
          <w:highlight w:val="none"/>
          <w:shd w:val="clear" w:fill="FFFFFF"/>
          <w:lang w:eastAsia="zh-CN"/>
        </w:rPr>
        <w:t>古树名木保护条例</w:t>
      </w:r>
      <w:r>
        <w:rPr>
          <w:rFonts w:hint="default" w:ascii="Times New Roman" w:hAnsi="Times New Roman"/>
          <w:sz w:val="28"/>
          <w:highlight w:val="none"/>
          <w:lang w:eastAsia="zh-CN"/>
        </w:rPr>
        <w:t>》</w:t>
      </w:r>
      <w:r>
        <w:rPr>
          <w:rFonts w:hint="eastAsia" w:ascii="Times New Roman" w:hAnsi="Times New Roman"/>
          <w:sz w:val="28"/>
          <w:highlight w:val="none"/>
          <w:lang w:eastAsia="zh-CN"/>
        </w:rPr>
        <w:t>（</w:t>
      </w:r>
      <w:r>
        <w:rPr>
          <w:rFonts w:hint="default" w:ascii="Times New Roman" w:hAnsi="Times New Roman"/>
          <w:sz w:val="28"/>
          <w:highlight w:val="none"/>
          <w:lang w:val="en-US" w:eastAsia="zh-CN"/>
        </w:rPr>
        <w:t>2025年</w:t>
      </w:r>
      <w:r>
        <w:rPr>
          <w:rFonts w:hint="eastAsia" w:ascii="Times New Roman" w:hAnsi="Times New Roman"/>
          <w:sz w:val="28"/>
          <w:highlight w:val="none"/>
          <w:lang w:eastAsia="zh-CN"/>
        </w:rPr>
        <w:t>3月15日起施行）；</w:t>
      </w:r>
    </w:p>
    <w:p w14:paraId="4EEE258D">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《历史文化名城名镇名村保护条例》</w:t>
      </w:r>
      <w:r>
        <w:rPr>
          <w:color w:val="auto"/>
          <w:sz w:val="28"/>
          <w:highlight w:val="none"/>
          <w:lang w:eastAsia="zh-CN"/>
        </w:rPr>
        <w:t>（</w:t>
      </w:r>
      <w:r>
        <w:rPr>
          <w:rFonts w:ascii="Times New Roman" w:eastAsia="Times New Roman"/>
          <w:color w:val="auto"/>
          <w:sz w:val="28"/>
          <w:highlight w:val="none"/>
          <w:lang w:eastAsia="zh-CN"/>
        </w:rPr>
        <w:t>2017</w:t>
      </w:r>
      <w:r>
        <w:rPr>
          <w:color w:val="auto"/>
          <w:spacing w:val="-2"/>
          <w:sz w:val="28"/>
          <w:highlight w:val="none"/>
          <w:lang w:eastAsia="zh-CN"/>
        </w:rPr>
        <w:t>年修</w:t>
      </w:r>
      <w:r>
        <w:rPr>
          <w:rFonts w:hint="eastAsia"/>
          <w:color w:val="auto"/>
          <w:spacing w:val="-2"/>
          <w:sz w:val="28"/>
          <w:highlight w:val="none"/>
          <w:lang w:val="en-US" w:eastAsia="zh-CN"/>
        </w:rPr>
        <w:t>订</w:t>
      </w:r>
      <w:r>
        <w:rPr>
          <w:color w:val="auto"/>
          <w:sz w:val="28"/>
          <w:highlight w:val="none"/>
          <w:lang w:eastAsia="zh-CN"/>
        </w:rPr>
        <w:t>）</w:t>
      </w:r>
      <w:r>
        <w:rPr>
          <w:color w:val="auto"/>
          <w:sz w:val="28"/>
          <w:highlight w:val="none"/>
          <w:lang w:eastAsia="zh-CN"/>
        </w:rPr>
        <w:t>；</w:t>
      </w:r>
    </w:p>
    <w:p w14:paraId="21236A91">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《畜禽规模养殖污染防治条例》</w:t>
      </w:r>
      <w:r>
        <w:rPr>
          <w:color w:val="auto"/>
          <w:sz w:val="28"/>
          <w:highlight w:val="none"/>
          <w:lang w:eastAsia="zh-CN"/>
        </w:rPr>
        <w:t>（</w:t>
      </w:r>
      <w:r>
        <w:rPr>
          <w:rFonts w:ascii="Times New Roman" w:eastAsia="Times New Roman"/>
          <w:color w:val="auto"/>
          <w:sz w:val="28"/>
          <w:highlight w:val="none"/>
          <w:lang w:eastAsia="zh-CN"/>
        </w:rPr>
        <w:t>2014</w:t>
      </w:r>
      <w:r>
        <w:rPr>
          <w:color w:val="auto"/>
          <w:spacing w:val="-35"/>
          <w:sz w:val="28"/>
          <w:highlight w:val="none"/>
          <w:lang w:eastAsia="zh-CN"/>
        </w:rPr>
        <w:t xml:space="preserve">年 </w:t>
      </w:r>
      <w:r>
        <w:rPr>
          <w:rFonts w:ascii="Times New Roman" w:eastAsia="Times New Roman"/>
          <w:color w:val="auto"/>
          <w:sz w:val="28"/>
          <w:highlight w:val="none"/>
          <w:lang w:eastAsia="zh-CN"/>
        </w:rPr>
        <w:t>1</w:t>
      </w:r>
      <w:r>
        <w:rPr>
          <w:color w:val="auto"/>
          <w:spacing w:val="-36"/>
          <w:sz w:val="28"/>
          <w:highlight w:val="none"/>
          <w:lang w:eastAsia="zh-CN"/>
        </w:rPr>
        <w:t xml:space="preserve">月 </w:t>
      </w:r>
      <w:r>
        <w:rPr>
          <w:rFonts w:ascii="Times New Roman" w:eastAsia="Times New Roman"/>
          <w:color w:val="auto"/>
          <w:sz w:val="28"/>
          <w:highlight w:val="none"/>
          <w:lang w:eastAsia="zh-CN"/>
        </w:rPr>
        <w:t>1</w:t>
      </w:r>
      <w:r>
        <w:rPr>
          <w:color w:val="auto"/>
          <w:spacing w:val="-3"/>
          <w:sz w:val="28"/>
          <w:highlight w:val="none"/>
          <w:lang w:eastAsia="zh-CN"/>
        </w:rPr>
        <w:t>日起施行</w:t>
      </w:r>
      <w:r>
        <w:rPr>
          <w:color w:val="auto"/>
          <w:sz w:val="28"/>
          <w:highlight w:val="none"/>
          <w:lang w:eastAsia="zh-CN"/>
        </w:rPr>
        <w:t>）；</w:t>
      </w:r>
    </w:p>
    <w:p w14:paraId="66BBF612">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《公路安全保护条例》（</w:t>
      </w:r>
      <w:r>
        <w:rPr>
          <w:rFonts w:ascii="Times New Roman" w:eastAsia="Times New Roman"/>
          <w:color w:val="auto"/>
          <w:spacing w:val="-3"/>
          <w:sz w:val="28"/>
          <w:highlight w:val="none"/>
          <w:lang w:eastAsia="zh-CN"/>
        </w:rPr>
        <w:t>2011</w:t>
      </w:r>
      <w:r>
        <w:rPr>
          <w:color w:val="auto"/>
          <w:spacing w:val="-34"/>
          <w:sz w:val="28"/>
          <w:highlight w:val="none"/>
          <w:lang w:eastAsia="zh-CN"/>
        </w:rPr>
        <w:t xml:space="preserve">年 </w:t>
      </w:r>
      <w:r>
        <w:rPr>
          <w:rFonts w:ascii="Times New Roman" w:eastAsia="Times New Roman"/>
          <w:color w:val="auto"/>
          <w:sz w:val="28"/>
          <w:highlight w:val="none"/>
          <w:lang w:eastAsia="zh-CN"/>
        </w:rPr>
        <w:t>7</w:t>
      </w:r>
      <w:r>
        <w:rPr>
          <w:color w:val="auto"/>
          <w:spacing w:val="-35"/>
          <w:sz w:val="28"/>
          <w:highlight w:val="none"/>
          <w:lang w:eastAsia="zh-CN"/>
        </w:rPr>
        <w:t xml:space="preserve">月 </w:t>
      </w:r>
      <w:r>
        <w:rPr>
          <w:rFonts w:ascii="Times New Roman" w:eastAsia="Times New Roman"/>
          <w:color w:val="auto"/>
          <w:sz w:val="28"/>
          <w:highlight w:val="none"/>
          <w:lang w:eastAsia="zh-CN"/>
        </w:rPr>
        <w:t>1</w:t>
      </w:r>
      <w:r>
        <w:rPr>
          <w:color w:val="auto"/>
          <w:spacing w:val="-1"/>
          <w:sz w:val="28"/>
          <w:highlight w:val="none"/>
          <w:lang w:eastAsia="zh-CN"/>
        </w:rPr>
        <w:t>日起施行</w:t>
      </w:r>
      <w:r>
        <w:rPr>
          <w:color w:val="auto"/>
          <w:sz w:val="28"/>
          <w:highlight w:val="none"/>
          <w:lang w:eastAsia="zh-CN"/>
        </w:rPr>
        <w:t>）；</w:t>
      </w:r>
    </w:p>
    <w:p w14:paraId="53DBEF9F">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《铁路安全管理条例》</w:t>
      </w:r>
      <w:r>
        <w:rPr>
          <w:color w:val="auto"/>
          <w:sz w:val="28"/>
          <w:highlight w:val="none"/>
          <w:lang w:eastAsia="zh-CN"/>
        </w:rPr>
        <w:t>（</w:t>
      </w:r>
      <w:r>
        <w:rPr>
          <w:rFonts w:ascii="Times New Roman" w:eastAsia="Times New Roman"/>
          <w:color w:val="auto"/>
          <w:sz w:val="28"/>
          <w:highlight w:val="none"/>
          <w:lang w:eastAsia="zh-CN"/>
        </w:rPr>
        <w:t>2014</w:t>
      </w:r>
      <w:r>
        <w:rPr>
          <w:color w:val="auto"/>
          <w:spacing w:val="-34"/>
          <w:sz w:val="28"/>
          <w:highlight w:val="none"/>
          <w:lang w:eastAsia="zh-CN"/>
        </w:rPr>
        <w:t xml:space="preserve">年 </w:t>
      </w:r>
      <w:r>
        <w:rPr>
          <w:rFonts w:ascii="Times New Roman" w:eastAsia="Times New Roman"/>
          <w:color w:val="auto"/>
          <w:sz w:val="28"/>
          <w:highlight w:val="none"/>
          <w:lang w:eastAsia="zh-CN"/>
        </w:rPr>
        <w:t>1</w:t>
      </w:r>
      <w:r>
        <w:rPr>
          <w:color w:val="auto"/>
          <w:spacing w:val="-35"/>
          <w:sz w:val="28"/>
          <w:highlight w:val="none"/>
          <w:lang w:eastAsia="zh-CN"/>
        </w:rPr>
        <w:t xml:space="preserve">月 </w:t>
      </w:r>
      <w:r>
        <w:rPr>
          <w:rFonts w:ascii="Times New Roman" w:eastAsia="Times New Roman"/>
          <w:color w:val="auto"/>
          <w:sz w:val="28"/>
          <w:highlight w:val="none"/>
          <w:lang w:eastAsia="zh-CN"/>
        </w:rPr>
        <w:t>1</w:t>
      </w:r>
      <w:r>
        <w:rPr>
          <w:color w:val="auto"/>
          <w:spacing w:val="-1"/>
          <w:sz w:val="28"/>
          <w:highlight w:val="none"/>
          <w:lang w:eastAsia="zh-CN"/>
        </w:rPr>
        <w:t>日起施行</w:t>
      </w:r>
      <w:r>
        <w:rPr>
          <w:color w:val="auto"/>
          <w:sz w:val="28"/>
          <w:highlight w:val="none"/>
          <w:lang w:eastAsia="zh-CN"/>
        </w:rPr>
        <w:t>）；</w:t>
      </w:r>
    </w:p>
    <w:p w14:paraId="378493DC">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《电力设施保护条例》</w:t>
      </w:r>
      <w:r>
        <w:rPr>
          <w:color w:val="auto"/>
          <w:spacing w:val="-4"/>
          <w:sz w:val="28"/>
          <w:highlight w:val="none"/>
          <w:lang w:eastAsia="zh-CN"/>
        </w:rPr>
        <w:t>（</w:t>
      </w:r>
      <w:r>
        <w:rPr>
          <w:rFonts w:ascii="Times New Roman" w:eastAsia="Times New Roman"/>
          <w:color w:val="auto"/>
          <w:spacing w:val="-4"/>
          <w:sz w:val="28"/>
          <w:highlight w:val="none"/>
          <w:lang w:eastAsia="zh-CN"/>
        </w:rPr>
        <w:t>2011</w:t>
      </w:r>
      <w:r>
        <w:rPr>
          <w:color w:val="auto"/>
          <w:spacing w:val="-36"/>
          <w:sz w:val="28"/>
          <w:highlight w:val="none"/>
          <w:lang w:eastAsia="zh-CN"/>
        </w:rPr>
        <w:t xml:space="preserve">年 </w:t>
      </w:r>
      <w:r>
        <w:rPr>
          <w:rFonts w:ascii="Times New Roman" w:eastAsia="Times New Roman"/>
          <w:color w:val="auto"/>
          <w:sz w:val="28"/>
          <w:highlight w:val="none"/>
          <w:lang w:eastAsia="zh-CN"/>
        </w:rPr>
        <w:t>1</w:t>
      </w:r>
      <w:r>
        <w:rPr>
          <w:color w:val="auto"/>
          <w:spacing w:val="-37"/>
          <w:sz w:val="28"/>
          <w:highlight w:val="none"/>
          <w:lang w:eastAsia="zh-CN"/>
        </w:rPr>
        <w:t xml:space="preserve">月 </w:t>
      </w:r>
      <w:r>
        <w:rPr>
          <w:rFonts w:ascii="Times New Roman" w:eastAsia="Times New Roman"/>
          <w:color w:val="auto"/>
          <w:sz w:val="28"/>
          <w:highlight w:val="none"/>
          <w:lang w:eastAsia="zh-CN"/>
        </w:rPr>
        <w:t>8</w:t>
      </w:r>
      <w:r>
        <w:rPr>
          <w:color w:val="auto"/>
          <w:spacing w:val="-1"/>
          <w:sz w:val="28"/>
          <w:highlight w:val="none"/>
          <w:lang w:eastAsia="zh-CN"/>
        </w:rPr>
        <w:t>日修订</w:t>
      </w:r>
      <w:r>
        <w:rPr>
          <w:color w:val="auto"/>
          <w:sz w:val="28"/>
          <w:highlight w:val="none"/>
          <w:lang w:eastAsia="zh-CN"/>
        </w:rPr>
        <w:t>）；</w:t>
      </w:r>
    </w:p>
    <w:p w14:paraId="269D6CB3">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rFonts w:hint="eastAsia"/>
          <w:color w:val="auto"/>
          <w:spacing w:val="-3"/>
          <w:sz w:val="28"/>
          <w:highlight w:val="none"/>
          <w:lang w:eastAsia="zh-CN"/>
        </w:rPr>
        <w:t>《古树名木保护条例》（2025年3月15日起施行）；</w:t>
      </w:r>
    </w:p>
    <w:p w14:paraId="74292461">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5"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《广西壮族自治区土地管理条例》</w:t>
      </w:r>
      <w:r>
        <w:rPr>
          <w:color w:val="auto"/>
          <w:sz w:val="28"/>
          <w:highlight w:val="none"/>
          <w:lang w:eastAsia="zh-CN"/>
        </w:rPr>
        <w:t>（</w:t>
      </w:r>
      <w:r>
        <w:rPr>
          <w:rFonts w:ascii="Times New Roman" w:eastAsia="Times New Roman"/>
          <w:color w:val="auto"/>
          <w:sz w:val="28"/>
          <w:highlight w:val="none"/>
          <w:lang w:eastAsia="zh-CN"/>
        </w:rPr>
        <w:t>2024</w:t>
      </w:r>
      <w:r>
        <w:rPr>
          <w:rFonts w:ascii="Times New Roman" w:eastAsia="Times New Roman"/>
          <w:color w:val="auto"/>
          <w:spacing w:val="1"/>
          <w:sz w:val="28"/>
          <w:highlight w:val="none"/>
          <w:lang w:eastAsia="zh-CN"/>
        </w:rPr>
        <w:t xml:space="preserve"> </w:t>
      </w:r>
      <w:r>
        <w:rPr>
          <w:color w:val="auto"/>
          <w:spacing w:val="-35"/>
          <w:sz w:val="28"/>
          <w:highlight w:val="none"/>
          <w:lang w:eastAsia="zh-CN"/>
        </w:rPr>
        <w:t xml:space="preserve">年 </w:t>
      </w:r>
      <w:r>
        <w:rPr>
          <w:rFonts w:ascii="Times New Roman" w:eastAsia="Times New Roman"/>
          <w:color w:val="auto"/>
          <w:sz w:val="28"/>
          <w:highlight w:val="none"/>
          <w:lang w:eastAsia="zh-CN"/>
        </w:rPr>
        <w:t>1</w:t>
      </w:r>
      <w:r>
        <w:rPr>
          <w:color w:val="auto"/>
          <w:spacing w:val="-36"/>
          <w:sz w:val="28"/>
          <w:highlight w:val="none"/>
          <w:lang w:eastAsia="zh-CN"/>
        </w:rPr>
        <w:t xml:space="preserve">月 </w:t>
      </w:r>
      <w:r>
        <w:rPr>
          <w:rFonts w:ascii="Times New Roman" w:eastAsia="Times New Roman"/>
          <w:color w:val="auto"/>
          <w:sz w:val="28"/>
          <w:highlight w:val="none"/>
          <w:lang w:eastAsia="zh-CN"/>
        </w:rPr>
        <w:t>1</w:t>
      </w:r>
      <w:r>
        <w:rPr>
          <w:color w:val="auto"/>
          <w:spacing w:val="-3"/>
          <w:sz w:val="28"/>
          <w:highlight w:val="none"/>
          <w:lang w:eastAsia="zh-CN"/>
        </w:rPr>
        <w:t>日起施行</w:t>
      </w:r>
      <w:r>
        <w:rPr>
          <w:color w:val="auto"/>
          <w:sz w:val="28"/>
          <w:highlight w:val="none"/>
          <w:lang w:eastAsia="zh-CN"/>
        </w:rPr>
        <w:t>）；</w:t>
      </w:r>
    </w:p>
    <w:p w14:paraId="696585B0">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《广西壮族自治区乡村规划建设管理条例</w:t>
      </w:r>
      <w:r>
        <w:rPr>
          <w:color w:val="auto"/>
          <w:spacing w:val="-176"/>
          <w:sz w:val="28"/>
          <w:highlight w:val="none"/>
          <w:lang w:eastAsia="zh-CN"/>
        </w:rPr>
        <w:t>》</w:t>
      </w:r>
      <w:r>
        <w:rPr>
          <w:color w:val="auto"/>
          <w:sz w:val="28"/>
          <w:highlight w:val="none"/>
          <w:lang w:eastAsia="zh-CN"/>
        </w:rPr>
        <w:t>（</w:t>
      </w:r>
      <w:r>
        <w:rPr>
          <w:rFonts w:ascii="Times New Roman" w:eastAsia="Times New Roman"/>
          <w:color w:val="auto"/>
          <w:sz w:val="28"/>
          <w:highlight w:val="none"/>
          <w:lang w:eastAsia="zh-CN"/>
        </w:rPr>
        <w:t>2019</w:t>
      </w:r>
      <w:r>
        <w:rPr>
          <w:rFonts w:ascii="Times New Roman" w:eastAsia="Times New Roman"/>
          <w:color w:val="auto"/>
          <w:spacing w:val="3"/>
          <w:sz w:val="28"/>
          <w:highlight w:val="none"/>
          <w:lang w:eastAsia="zh-CN"/>
        </w:rPr>
        <w:t xml:space="preserve"> </w:t>
      </w:r>
      <w:r>
        <w:rPr>
          <w:color w:val="auto"/>
          <w:spacing w:val="-36"/>
          <w:sz w:val="28"/>
          <w:highlight w:val="none"/>
          <w:lang w:eastAsia="zh-CN"/>
        </w:rPr>
        <w:t xml:space="preserve">年 </w:t>
      </w:r>
      <w:r>
        <w:rPr>
          <w:rFonts w:ascii="Times New Roman" w:eastAsia="Times New Roman"/>
          <w:color w:val="auto"/>
          <w:sz w:val="28"/>
          <w:highlight w:val="none"/>
          <w:lang w:eastAsia="zh-CN"/>
        </w:rPr>
        <w:t>5</w:t>
      </w:r>
      <w:r>
        <w:rPr>
          <w:color w:val="auto"/>
          <w:spacing w:val="-35"/>
          <w:sz w:val="28"/>
          <w:highlight w:val="none"/>
          <w:lang w:eastAsia="zh-CN"/>
        </w:rPr>
        <w:t xml:space="preserve">月 </w:t>
      </w:r>
      <w:r>
        <w:rPr>
          <w:rFonts w:ascii="Times New Roman" w:eastAsia="Times New Roman"/>
          <w:color w:val="auto"/>
          <w:sz w:val="28"/>
          <w:highlight w:val="none"/>
          <w:lang w:eastAsia="zh-CN"/>
        </w:rPr>
        <w:t>1</w:t>
      </w:r>
      <w:r>
        <w:rPr>
          <w:color w:val="auto"/>
          <w:spacing w:val="-2"/>
          <w:sz w:val="28"/>
          <w:highlight w:val="none"/>
          <w:lang w:eastAsia="zh-CN"/>
        </w:rPr>
        <w:t>日起施行</w:t>
      </w:r>
      <w:r>
        <w:rPr>
          <w:color w:val="auto"/>
          <w:spacing w:val="-45"/>
          <w:sz w:val="28"/>
          <w:highlight w:val="none"/>
          <w:lang w:eastAsia="zh-CN"/>
        </w:rPr>
        <w:t>）；</w:t>
      </w:r>
    </w:p>
    <w:p w14:paraId="76C692DE">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《广西壮族自治区环境保护条例》</w:t>
      </w:r>
      <w:r>
        <w:rPr>
          <w:color w:val="auto"/>
          <w:sz w:val="28"/>
          <w:highlight w:val="none"/>
          <w:lang w:eastAsia="zh-CN"/>
        </w:rPr>
        <w:t>（</w:t>
      </w:r>
      <w:r>
        <w:rPr>
          <w:rFonts w:ascii="Times New Roman" w:eastAsia="Times New Roman"/>
          <w:color w:val="auto"/>
          <w:sz w:val="28"/>
          <w:highlight w:val="none"/>
          <w:lang w:eastAsia="zh-CN"/>
        </w:rPr>
        <w:t>201</w:t>
      </w:r>
      <w:r>
        <w:rPr>
          <w:rFonts w:hint="eastAsia" w:ascii="Times New Roman" w:eastAsia="Times New Roman"/>
          <w:color w:val="auto"/>
          <w:sz w:val="28"/>
          <w:highlight w:val="none"/>
          <w:lang w:val="en-US" w:eastAsia="zh-CN"/>
        </w:rPr>
        <w:t>9</w:t>
      </w:r>
      <w:r>
        <w:rPr>
          <w:color w:val="auto"/>
          <w:spacing w:val="-2"/>
          <w:sz w:val="28"/>
          <w:highlight w:val="none"/>
          <w:lang w:eastAsia="zh-CN"/>
        </w:rPr>
        <w:t>年修</w:t>
      </w:r>
      <w:r>
        <w:rPr>
          <w:rFonts w:hint="eastAsia"/>
          <w:color w:val="auto"/>
          <w:spacing w:val="-2"/>
          <w:sz w:val="28"/>
          <w:highlight w:val="none"/>
          <w:lang w:val="en-US" w:eastAsia="zh-CN"/>
        </w:rPr>
        <w:t>正</w:t>
      </w:r>
      <w:r>
        <w:rPr>
          <w:color w:val="auto"/>
          <w:sz w:val="28"/>
          <w:highlight w:val="none"/>
          <w:lang w:eastAsia="zh-CN"/>
        </w:rPr>
        <w:t>）；</w:t>
      </w:r>
    </w:p>
    <w:p w14:paraId="3AFD3800">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3"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《广西壮族自治区水污染防治条例》</w:t>
      </w:r>
      <w:r>
        <w:rPr>
          <w:color w:val="auto"/>
          <w:sz w:val="28"/>
          <w:highlight w:val="none"/>
          <w:lang w:eastAsia="zh-CN"/>
        </w:rPr>
        <w:t>（</w:t>
      </w:r>
      <w:r>
        <w:rPr>
          <w:rFonts w:ascii="Times New Roman" w:eastAsia="Times New Roman"/>
          <w:color w:val="auto"/>
          <w:sz w:val="28"/>
          <w:highlight w:val="none"/>
          <w:lang w:eastAsia="zh-CN"/>
        </w:rPr>
        <w:t>2020</w:t>
      </w:r>
      <w:r>
        <w:rPr>
          <w:rFonts w:ascii="Times New Roman" w:eastAsia="Times New Roman"/>
          <w:color w:val="auto"/>
          <w:spacing w:val="1"/>
          <w:sz w:val="28"/>
          <w:highlight w:val="none"/>
          <w:lang w:eastAsia="zh-CN"/>
        </w:rPr>
        <w:t xml:space="preserve"> </w:t>
      </w:r>
      <w:r>
        <w:rPr>
          <w:color w:val="auto"/>
          <w:spacing w:val="-35"/>
          <w:sz w:val="28"/>
          <w:highlight w:val="none"/>
          <w:lang w:eastAsia="zh-CN"/>
        </w:rPr>
        <w:t xml:space="preserve">年 </w:t>
      </w:r>
      <w:r>
        <w:rPr>
          <w:rFonts w:ascii="Times New Roman" w:eastAsia="Times New Roman"/>
          <w:color w:val="auto"/>
          <w:sz w:val="28"/>
          <w:highlight w:val="none"/>
          <w:lang w:eastAsia="zh-CN"/>
        </w:rPr>
        <w:t>5</w:t>
      </w:r>
      <w:r>
        <w:rPr>
          <w:color w:val="auto"/>
          <w:spacing w:val="-35"/>
          <w:sz w:val="28"/>
          <w:highlight w:val="none"/>
          <w:lang w:eastAsia="zh-CN"/>
        </w:rPr>
        <w:t xml:space="preserve">月 </w:t>
      </w:r>
      <w:r>
        <w:rPr>
          <w:rFonts w:ascii="Times New Roman" w:eastAsia="Times New Roman"/>
          <w:color w:val="auto"/>
          <w:sz w:val="28"/>
          <w:highlight w:val="none"/>
          <w:lang w:eastAsia="zh-CN"/>
        </w:rPr>
        <w:t>1</w:t>
      </w:r>
      <w:r>
        <w:rPr>
          <w:color w:val="auto"/>
          <w:spacing w:val="-2"/>
          <w:sz w:val="28"/>
          <w:highlight w:val="none"/>
          <w:lang w:eastAsia="zh-CN"/>
        </w:rPr>
        <w:t>日起实施</w:t>
      </w:r>
      <w:r>
        <w:rPr>
          <w:color w:val="auto"/>
          <w:sz w:val="28"/>
          <w:highlight w:val="none"/>
          <w:lang w:eastAsia="zh-CN"/>
        </w:rPr>
        <w:t>）；</w:t>
      </w:r>
    </w:p>
    <w:p w14:paraId="1F5A1A77">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pacing w:val="-3"/>
          <w:sz w:val="28"/>
          <w:highlight w:val="none"/>
          <w:lang w:eastAsia="zh-CN"/>
        </w:rPr>
      </w:pPr>
      <w:r>
        <w:rPr>
          <w:color w:val="auto"/>
          <w:spacing w:val="-3"/>
          <w:sz w:val="28"/>
          <w:highlight w:val="none"/>
          <w:lang w:eastAsia="zh-CN"/>
        </w:rPr>
        <w:t>《广西壮族自治区饮用水水源保护条例》（2017年 05月 01日起施行）；</w:t>
      </w:r>
    </w:p>
    <w:p w14:paraId="2DA4F4C0">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pacing w:val="-3"/>
          <w:sz w:val="28"/>
          <w:highlight w:val="none"/>
          <w:lang w:eastAsia="zh-CN"/>
        </w:rPr>
      </w:pPr>
      <w:r>
        <w:rPr>
          <w:rFonts w:hint="eastAsia"/>
          <w:color w:val="auto"/>
          <w:spacing w:val="-3"/>
          <w:sz w:val="28"/>
          <w:highlight w:val="none"/>
          <w:lang w:eastAsia="zh-CN"/>
        </w:rPr>
        <w:t>《广西壮族自治区古树名木保护条例》（2017年6月1日起施行）；</w:t>
      </w:r>
    </w:p>
    <w:p w14:paraId="2152EDD5">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pacing w:val="-3"/>
          <w:sz w:val="28"/>
          <w:highlight w:val="none"/>
          <w:lang w:eastAsia="zh-CN"/>
        </w:rPr>
      </w:pPr>
      <w:r>
        <w:rPr>
          <w:color w:val="auto"/>
          <w:spacing w:val="-3"/>
          <w:sz w:val="28"/>
          <w:highlight w:val="none"/>
          <w:lang w:eastAsia="zh-CN"/>
        </w:rPr>
        <w:t>《广西壮族自治区风景名胜区管理条例》</w:t>
      </w:r>
      <w:r>
        <w:rPr>
          <w:rFonts w:hint="eastAsia" w:ascii="Times New Roman" w:hAnsi="Times New Roman"/>
          <w:sz w:val="28"/>
          <w:highlight w:val="none"/>
          <w:lang w:eastAsia="zh-CN"/>
        </w:rPr>
        <w:t>（</w:t>
      </w:r>
      <w:r>
        <w:rPr>
          <w:rFonts w:hint="eastAsia" w:ascii="Times New Roman" w:hAnsi="Times New Roman"/>
          <w:sz w:val="28"/>
          <w:highlight w:val="none"/>
          <w:lang w:val="en-US" w:eastAsia="zh-CN"/>
        </w:rPr>
        <w:t>2016年修正</w:t>
      </w:r>
      <w:r>
        <w:rPr>
          <w:rFonts w:hint="eastAsia" w:ascii="Times New Roman" w:hAnsi="Times New Roman"/>
          <w:sz w:val="28"/>
          <w:highlight w:val="none"/>
          <w:lang w:eastAsia="zh-CN"/>
        </w:rPr>
        <w:t>）</w:t>
      </w:r>
      <w:r>
        <w:rPr>
          <w:rFonts w:hint="eastAsia"/>
          <w:color w:val="auto"/>
          <w:spacing w:val="-3"/>
          <w:sz w:val="28"/>
          <w:highlight w:val="none"/>
          <w:lang w:val="en-US" w:eastAsia="zh-CN"/>
        </w:rPr>
        <w:t>;</w:t>
      </w:r>
    </w:p>
    <w:p w14:paraId="5EB5FF20">
      <w:pPr>
        <w:pStyle w:val="37"/>
        <w:keepNext w:val="0"/>
        <w:keepLines w:val="0"/>
        <w:pageBreakBefore w:val="0"/>
        <w:widowControl w:val="0"/>
        <w:numPr>
          <w:ilvl w:val="0"/>
          <w:numId w:val="3"/>
        </w:numPr>
        <w:tabs>
          <w:tab w:val="left" w:pos="1080"/>
        </w:tabs>
        <w:kinsoku/>
        <w:wordWrap/>
        <w:overflowPunct/>
        <w:topLinePunct w:val="0"/>
        <w:autoSpaceDE w:val="0"/>
        <w:autoSpaceDN w:val="0"/>
        <w:bidi w:val="0"/>
        <w:adjustRightInd/>
        <w:snapToGrid/>
        <w:spacing w:before="212" w:line="360" w:lineRule="auto"/>
        <w:ind w:hanging="421"/>
        <w:contextualSpacing w:val="0"/>
        <w:textAlignment w:val="auto"/>
        <w:rPr>
          <w:rFonts w:hint="eastAsia"/>
          <w:color w:val="auto"/>
          <w:sz w:val="28"/>
          <w:highlight w:val="none"/>
          <w:lang w:eastAsia="zh-CN"/>
        </w:rPr>
      </w:pPr>
      <w:r>
        <w:rPr>
          <w:color w:val="auto"/>
          <w:spacing w:val="-3"/>
          <w:sz w:val="28"/>
          <w:highlight w:val="none"/>
          <w:lang w:eastAsia="zh-CN"/>
        </w:rPr>
        <w:t>《柳州市柳江流域生态环境保护条例》</w:t>
      </w:r>
      <w:r>
        <w:rPr>
          <w:color w:val="auto"/>
          <w:sz w:val="28"/>
          <w:highlight w:val="none"/>
          <w:lang w:eastAsia="zh-CN"/>
        </w:rPr>
        <w:t>（</w:t>
      </w:r>
      <w:r>
        <w:rPr>
          <w:rFonts w:ascii="Times New Roman" w:eastAsia="Times New Roman"/>
          <w:color w:val="auto"/>
          <w:sz w:val="28"/>
          <w:highlight w:val="none"/>
          <w:lang w:eastAsia="zh-CN"/>
        </w:rPr>
        <w:t>2021</w:t>
      </w:r>
      <w:r>
        <w:rPr>
          <w:color w:val="auto"/>
          <w:spacing w:val="-36"/>
          <w:sz w:val="28"/>
          <w:highlight w:val="none"/>
          <w:lang w:eastAsia="zh-CN"/>
        </w:rPr>
        <w:t xml:space="preserve">年 </w:t>
      </w:r>
      <w:r>
        <w:rPr>
          <w:rFonts w:ascii="Times New Roman" w:eastAsia="Times New Roman"/>
          <w:color w:val="auto"/>
          <w:sz w:val="28"/>
          <w:highlight w:val="none"/>
          <w:lang w:eastAsia="zh-CN"/>
        </w:rPr>
        <w:t>10</w:t>
      </w:r>
      <w:r>
        <w:rPr>
          <w:color w:val="auto"/>
          <w:spacing w:val="-35"/>
          <w:sz w:val="28"/>
          <w:highlight w:val="none"/>
          <w:lang w:eastAsia="zh-CN"/>
        </w:rPr>
        <w:t xml:space="preserve">月 </w:t>
      </w:r>
      <w:r>
        <w:rPr>
          <w:rFonts w:ascii="Times New Roman" w:eastAsia="Times New Roman"/>
          <w:color w:val="auto"/>
          <w:sz w:val="28"/>
          <w:highlight w:val="none"/>
          <w:lang w:eastAsia="zh-CN"/>
        </w:rPr>
        <w:t>1</w:t>
      </w:r>
      <w:r>
        <w:rPr>
          <w:color w:val="auto"/>
          <w:spacing w:val="-1"/>
          <w:sz w:val="28"/>
          <w:highlight w:val="none"/>
          <w:lang w:eastAsia="zh-CN"/>
        </w:rPr>
        <w:t>日起施行</w:t>
      </w:r>
      <w:r>
        <w:rPr>
          <w:color w:val="auto"/>
          <w:sz w:val="28"/>
          <w:highlight w:val="none"/>
          <w:lang w:eastAsia="zh-CN"/>
        </w:rPr>
        <w:t>）。</w:t>
      </w:r>
    </w:p>
    <w:p w14:paraId="0D136D8A">
      <w:pPr>
        <w:pStyle w:val="6"/>
        <w:keepNext w:val="0"/>
        <w:keepLines w:val="0"/>
        <w:spacing w:before="136" w:after="0"/>
        <w:ind w:left="662"/>
        <w:rPr>
          <w:rFonts w:hint="eastAsia" w:ascii="微软雅黑" w:hAnsi="微软雅黑" w:eastAsia="微软雅黑" w:cs="微软雅黑"/>
          <w:b/>
          <w:bCs/>
          <w:color w:val="auto"/>
          <w:sz w:val="28"/>
          <w:szCs w:val="28"/>
          <w:highlight w:val="none"/>
        </w:rPr>
      </w:pPr>
      <w:r>
        <w:rPr>
          <w:rFonts w:ascii="微软雅黑" w:hAnsi="微软雅黑" w:eastAsia="微软雅黑" w:cs="微软雅黑"/>
          <w:b/>
          <w:bCs/>
          <w:color w:val="auto"/>
          <w:sz w:val="28"/>
          <w:szCs w:val="28"/>
          <w:highlight w:val="none"/>
        </w:rPr>
        <w:t>（二）政策文件</w:t>
      </w:r>
    </w:p>
    <w:p w14:paraId="3EF2B742">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12" w:line="360" w:lineRule="auto"/>
        <w:ind w:right="398"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中央农村工作领导小组办公室、农业农村部印发《关于进一步加强农村宅基地管理的通知》（中农发〔2019〕11号）；</w:t>
      </w:r>
    </w:p>
    <w:p w14:paraId="28B0A04A">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农业农村部、自然资源部印发《关于规范农村宅基地审批管理的通知》（农经发〔2019〕6号）</w:t>
      </w:r>
    </w:p>
    <w:p w14:paraId="38A6A81B">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《中共中央国务院关于建立国土空间规划体系并监督实施的若干意见》（中发〔2019〕18号）；</w:t>
      </w:r>
    </w:p>
    <w:p w14:paraId="6E530A24">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ascii="Times New Roman" w:hAnsi="Times New Roman" w:eastAsia="仿宋"/>
          <w:color w:val="auto"/>
          <w:sz w:val="28"/>
          <w:highlight w:val="none"/>
          <w:lang w:eastAsia="zh-CN"/>
        </w:rPr>
      </w:pPr>
      <w:r>
        <w:rPr>
          <w:rFonts w:hint="eastAsia" w:ascii="Times New Roman" w:hAnsi="Times New Roman" w:eastAsia="仿宋"/>
          <w:color w:val="auto"/>
          <w:spacing w:val="-14"/>
          <w:sz w:val="28"/>
          <w:highlight w:val="none"/>
          <w:lang w:eastAsia="zh-CN"/>
        </w:rPr>
        <w:t>《中共中央国务院</w:t>
      </w:r>
      <w:r>
        <w:rPr>
          <w:rFonts w:ascii="Times New Roman" w:hAnsi="Times New Roman" w:eastAsia="仿宋"/>
          <w:color w:val="auto"/>
          <w:spacing w:val="-14"/>
          <w:sz w:val="28"/>
          <w:highlight w:val="none"/>
          <w:lang w:eastAsia="zh-CN"/>
        </w:rPr>
        <w:t>关于学习运用“千村示范、万村整治”工程经验有力有</w:t>
      </w:r>
      <w:r>
        <w:rPr>
          <w:rFonts w:ascii="Times New Roman" w:hAnsi="Times New Roman" w:eastAsia="仿宋"/>
          <w:color w:val="auto"/>
          <w:spacing w:val="-3"/>
          <w:sz w:val="28"/>
          <w:highlight w:val="none"/>
          <w:lang w:eastAsia="zh-CN"/>
        </w:rPr>
        <w:t>效推进乡村全面振兴的意见》</w:t>
      </w:r>
      <w:r>
        <w:rPr>
          <w:rFonts w:ascii="Times New Roman" w:hAnsi="Times New Roman" w:eastAsia="仿宋"/>
          <w:color w:val="auto"/>
          <w:sz w:val="28"/>
          <w:highlight w:val="none"/>
          <w:lang w:eastAsia="zh-CN"/>
        </w:rPr>
        <w:t>（2024</w:t>
      </w:r>
      <w:r>
        <w:rPr>
          <w:rFonts w:ascii="Times New Roman" w:hAnsi="Times New Roman" w:eastAsia="仿宋"/>
          <w:color w:val="auto"/>
          <w:spacing w:val="-2"/>
          <w:sz w:val="28"/>
          <w:highlight w:val="none"/>
          <w:lang w:eastAsia="zh-CN"/>
        </w:rPr>
        <w:t>年中央一号文件</w:t>
      </w:r>
      <w:r>
        <w:rPr>
          <w:rFonts w:ascii="Times New Roman" w:hAnsi="Times New Roman" w:eastAsia="仿宋"/>
          <w:color w:val="auto"/>
          <w:sz w:val="28"/>
          <w:highlight w:val="none"/>
          <w:lang w:eastAsia="zh-CN"/>
        </w:rPr>
        <w:t>）；</w:t>
      </w:r>
    </w:p>
    <w:p w14:paraId="0FE247D4">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4" w:line="360" w:lineRule="auto"/>
        <w:ind w:right="256" w:hanging="420"/>
        <w:contextualSpacing w:val="0"/>
        <w:textAlignment w:val="auto"/>
        <w:rPr>
          <w:rFonts w:ascii="Times New Roman" w:hAnsi="Times New Roman" w:eastAsia="仿宋"/>
          <w:color w:val="auto"/>
          <w:sz w:val="28"/>
          <w:highlight w:val="none"/>
          <w:lang w:eastAsia="zh-CN"/>
        </w:rPr>
      </w:pPr>
      <w:r>
        <w:rPr>
          <w:rFonts w:ascii="Times New Roman" w:hAnsi="Times New Roman" w:eastAsia="仿宋"/>
          <w:color w:val="auto"/>
          <w:sz w:val="28"/>
          <w:highlight w:val="none"/>
          <w:lang w:eastAsia="zh-CN"/>
        </w:rPr>
        <w:t>《自然资源部中央农村工作领导小组办公室关于学习运用“千万工程”</w:t>
      </w:r>
      <w:r>
        <w:rPr>
          <w:rFonts w:ascii="Times New Roman" w:hAnsi="Times New Roman" w:eastAsia="仿宋"/>
          <w:color w:val="auto"/>
          <w:spacing w:val="-3"/>
          <w:sz w:val="28"/>
          <w:highlight w:val="none"/>
          <w:lang w:eastAsia="zh-CN"/>
        </w:rPr>
        <w:t>经验提高村庄规划编制质量和实效的通知》（</w:t>
      </w:r>
      <w:r>
        <w:rPr>
          <w:rFonts w:ascii="Times New Roman" w:hAnsi="Times New Roman" w:eastAsia="仿宋"/>
          <w:color w:val="auto"/>
          <w:spacing w:val="-2"/>
          <w:sz w:val="28"/>
          <w:highlight w:val="none"/>
          <w:lang w:eastAsia="zh-CN"/>
        </w:rPr>
        <w:t>自然资发〔</w:t>
      </w:r>
      <w:r>
        <w:rPr>
          <w:rFonts w:ascii="Times New Roman" w:hAnsi="Times New Roman" w:eastAsia="仿宋"/>
          <w:color w:val="auto"/>
          <w:sz w:val="28"/>
          <w:highlight w:val="none"/>
          <w:lang w:eastAsia="zh-CN"/>
        </w:rPr>
        <w:t>2024</w:t>
      </w:r>
      <w:r>
        <w:rPr>
          <w:rFonts w:ascii="Times New Roman" w:hAnsi="Times New Roman" w:eastAsia="仿宋"/>
          <w:color w:val="auto"/>
          <w:spacing w:val="-3"/>
          <w:sz w:val="28"/>
          <w:highlight w:val="none"/>
          <w:lang w:eastAsia="zh-CN"/>
        </w:rPr>
        <w:t>〕</w:t>
      </w:r>
      <w:r>
        <w:rPr>
          <w:rFonts w:ascii="Times New Roman" w:hAnsi="Times New Roman" w:eastAsia="仿宋"/>
          <w:color w:val="auto"/>
          <w:sz w:val="28"/>
          <w:highlight w:val="none"/>
          <w:lang w:eastAsia="zh-CN"/>
        </w:rPr>
        <w:t>1</w:t>
      </w:r>
      <w:r>
        <w:rPr>
          <w:rFonts w:ascii="Times New Roman" w:hAnsi="Times New Roman" w:eastAsia="仿宋"/>
          <w:color w:val="auto"/>
          <w:spacing w:val="-3"/>
          <w:sz w:val="28"/>
          <w:highlight w:val="none"/>
          <w:lang w:eastAsia="zh-CN"/>
        </w:rPr>
        <w:t>号</w:t>
      </w:r>
      <w:r>
        <w:rPr>
          <w:rFonts w:ascii="Times New Roman" w:hAnsi="Times New Roman" w:eastAsia="仿宋"/>
          <w:color w:val="auto"/>
          <w:sz w:val="28"/>
          <w:highlight w:val="none"/>
          <w:lang w:eastAsia="zh-CN"/>
        </w:rPr>
        <w:t>）；</w:t>
      </w:r>
    </w:p>
    <w:p w14:paraId="42F63248">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ascii="Times New Roman" w:hAnsi="Times New Roman" w:eastAsia="仿宋"/>
          <w:color w:val="auto"/>
          <w:sz w:val="28"/>
          <w:highlight w:val="none"/>
          <w:lang w:eastAsia="zh-CN"/>
        </w:rPr>
        <w:t>《自然资源部办公厅关于加强村庄规划促进乡村振兴的通知》（自然</w:t>
      </w:r>
      <w:r>
        <w:rPr>
          <w:rFonts w:hint="eastAsia" w:ascii="Times New Roman" w:hAnsi="Times New Roman" w:eastAsia="仿宋"/>
          <w:color w:val="auto"/>
          <w:spacing w:val="-14"/>
          <w:sz w:val="28"/>
          <w:highlight w:val="none"/>
          <w:lang w:eastAsia="zh-CN"/>
        </w:rPr>
        <w:t>资办发〔2019〕35号）；</w:t>
      </w:r>
    </w:p>
    <w:p w14:paraId="7DB0BFC7">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《自然资源部</w:t>
      </w:r>
      <w:r>
        <w:rPr>
          <w:rFonts w:hint="eastAsia" w:ascii="Times New Roman" w:hAnsi="Times New Roman" w:eastAsia="仿宋"/>
          <w:color w:val="auto"/>
          <w:spacing w:val="-14"/>
          <w:sz w:val="28"/>
          <w:highlight w:val="none"/>
          <w:lang w:val="en-US" w:eastAsia="zh-CN"/>
        </w:rPr>
        <w:t xml:space="preserve"> </w:t>
      </w:r>
      <w:r>
        <w:rPr>
          <w:rFonts w:hint="eastAsia" w:ascii="Times New Roman" w:hAnsi="Times New Roman" w:eastAsia="仿宋"/>
          <w:color w:val="auto"/>
          <w:spacing w:val="-14"/>
          <w:sz w:val="28"/>
          <w:highlight w:val="none"/>
          <w:lang w:eastAsia="zh-CN"/>
        </w:rPr>
        <w:t>农业农村部关于加强和改进永久基本农田保护工作的通知》（自然资规〔2019〕1号）</w:t>
      </w:r>
    </w:p>
    <w:p w14:paraId="61036BF4">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《自然资源部办公厅关于进一步做好村庄规划工作的意见》（自然资办发〔2020〕57号）</w:t>
      </w:r>
    </w:p>
    <w:p w14:paraId="463B7437">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《自然资源部 农业农村部关于保障农村村民住宅建设合理用地的通知》（自然资发〔2020〕128号）；</w:t>
      </w:r>
    </w:p>
    <w:p w14:paraId="6BD6E501">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《自然资源部关于深化规划用地“多审合一、多证合一”改革的通知》（自然资发〔2023〕69号）；</w:t>
      </w:r>
    </w:p>
    <w:p w14:paraId="1A6058E3">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《产业结构调整指导目录（2024年本）》（2023年12月27日国家发展改革委令第7号公布）；</w:t>
      </w:r>
    </w:p>
    <w:p w14:paraId="736BBFFB">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自然资源部 国家发展和改革委员会 国家林业和草原局关于印发《自然资源要素支撑产业高质量发展指导目录（2024年本）》的通知（自然资发〔2024〕273号）；</w:t>
      </w:r>
    </w:p>
    <w:p w14:paraId="7306CE25">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ab/>
      </w:r>
      <w:r>
        <w:rPr>
          <w:rFonts w:hint="eastAsia" w:ascii="Times New Roman" w:hAnsi="Times New Roman" w:eastAsia="仿宋"/>
          <w:color w:val="auto"/>
          <w:spacing w:val="-14"/>
          <w:sz w:val="28"/>
          <w:highlight w:val="none"/>
          <w:lang w:eastAsia="zh-CN"/>
        </w:rPr>
        <w:t>《中共中央国务院关于进一步深化农村改革扎实推进乡村全面振兴的意见》（2025年中央一号文件）</w:t>
      </w:r>
    </w:p>
    <w:p w14:paraId="0AF85385">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中共中央国务院印发《乡村全面振兴规划（2024—2027年）》</w:t>
      </w:r>
    </w:p>
    <w:p w14:paraId="670A6709">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广西壮族自治区自然资源厅、广西壮族自治区农业农村厅、广西壮族自治区住房和城乡建设厅印发《关于进一步加强农村宅基地管理的通知》（桂农厅发〔2020〕65号）</w:t>
      </w:r>
    </w:p>
    <w:p w14:paraId="4BBF5224">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 广西壮族自治区农业农村厅 广西壮族自治区住房和城乡建设厅关于规范农村新增宅基地审批和建房管理的通知》（桂自然资发〔2020〕70号）</w:t>
      </w:r>
      <w:r>
        <w:rPr>
          <w:rFonts w:hint="eastAsia" w:ascii="Times New Roman" w:hAnsi="Times New Roman"/>
          <w:color w:val="auto"/>
          <w:spacing w:val="-14"/>
          <w:sz w:val="28"/>
          <w:highlight w:val="none"/>
          <w:lang w:eastAsia="zh-CN"/>
        </w:rPr>
        <w:t>（</w:t>
      </w:r>
      <w:r>
        <w:rPr>
          <w:rFonts w:hint="eastAsia" w:ascii="Times New Roman" w:hAnsi="Times New Roman" w:eastAsia="仿宋"/>
          <w:color w:val="auto"/>
          <w:spacing w:val="-14"/>
          <w:sz w:val="28"/>
          <w:highlight w:val="none"/>
          <w:lang w:eastAsia="zh-CN"/>
        </w:rPr>
        <w:t>桂自然资发〔2023〕27号</w:t>
      </w:r>
      <w:r>
        <w:rPr>
          <w:rFonts w:hint="eastAsia" w:ascii="Times New Roman" w:hAnsi="Times New Roman"/>
          <w:color w:val="auto"/>
          <w:spacing w:val="-14"/>
          <w:sz w:val="28"/>
          <w:highlight w:val="none"/>
          <w:lang w:val="en-US" w:eastAsia="zh-CN"/>
        </w:rPr>
        <w:t>修订部分内容</w:t>
      </w:r>
      <w:r>
        <w:rPr>
          <w:rFonts w:hint="eastAsia" w:ascii="Times New Roman" w:hAnsi="Times New Roman"/>
          <w:color w:val="auto"/>
          <w:spacing w:val="-14"/>
          <w:sz w:val="28"/>
          <w:highlight w:val="none"/>
          <w:lang w:eastAsia="zh-CN"/>
        </w:rPr>
        <w:t>）</w:t>
      </w:r>
      <w:r>
        <w:rPr>
          <w:rFonts w:hint="eastAsia" w:ascii="Times New Roman" w:hAnsi="Times New Roman" w:eastAsia="仿宋"/>
          <w:color w:val="auto"/>
          <w:spacing w:val="-14"/>
          <w:sz w:val="28"/>
          <w:highlight w:val="none"/>
          <w:lang w:eastAsia="zh-CN"/>
        </w:rPr>
        <w:t>；</w:t>
      </w:r>
    </w:p>
    <w:p w14:paraId="424BD42D">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《自治区党委办公厅自治区人民政府办公厅印发〈关于加强乡镇“四所合一”机构履职能力建设提升基层农房管控水平的若干措施〉的通知》（厅发〔2020〕53号）</w:t>
      </w:r>
    </w:p>
    <w:p w14:paraId="399BF943">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 广西壮族自治区农业农村厅《关于进一步加强和规范我区设施农业用地管理的通知》（桂自然资规〔2020〕3号）；</w:t>
      </w:r>
    </w:p>
    <w:p w14:paraId="7B1AF9BF">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 广西壮族自治区发展和改革委员会 广西壮族自治区农业农村厅《关于进一步支持农村一二、三产业融合发展用地有关事项的通知》（桂自然资发〔2021〕49号）；</w:t>
      </w:r>
    </w:p>
    <w:p w14:paraId="5EA6A2DA">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广西壮族自治区自然资源厅《关于强化村庄规划编制实施助力乡村振兴的通知》（桂自然资发〔2023〕39号）；</w:t>
      </w:r>
    </w:p>
    <w:p w14:paraId="57EE89E3">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 中共广西壮族自治区委员会农村工作领导小组办公室《关于学习运用“千万工程”经验做好2024年村庄规划编制实施工作的通知》（桂自然资发〔2024〕16号）；</w:t>
      </w:r>
    </w:p>
    <w:p w14:paraId="6176F58F">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广西壮族自治区自然资源厅办公室关于印发《广西壮族自治区低成本实用性简易型村庄规划编制技术导则（试行）》的通知（桂自然资办〔2023〕289号）；</w:t>
      </w:r>
    </w:p>
    <w:p w14:paraId="63E7EF18">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广西壮族自治区自然资源厅办公室关于印发《广西壮族自治区乡村地区“通则式”规划管理规定编制指引（试行）》的通知（桂自然资办〔2024〕196号）；</w:t>
      </w:r>
    </w:p>
    <w:p w14:paraId="4CB92680">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《广西壮族自治区自然资源厅 广西壮族自治区生态环境厅 广西壮族自治区</w:t>
      </w:r>
      <w:bookmarkStart w:id="65" w:name="_GoBack"/>
      <w:r>
        <w:rPr>
          <w:rFonts w:hint="eastAsia" w:ascii="Times New Roman" w:hAnsi="Times New Roman" w:eastAsia="仿宋"/>
          <w:color w:val="auto"/>
          <w:spacing w:val="-14"/>
          <w:sz w:val="28"/>
          <w:highlight w:val="none"/>
          <w:lang w:eastAsia="zh-CN"/>
        </w:rPr>
        <w:t>林业局 广西壮族自治区海洋局关于印发广西生态保护红线监管办法（试行）的通知》（桂自然资规〔2023〕4号）；</w:t>
      </w:r>
    </w:p>
    <w:p w14:paraId="03409C9E">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val="en-US" w:eastAsia="zh-CN"/>
        </w:rPr>
        <w:t>《广西壮族自治区自然资源厅关于进一步加强和规范乡村建设规划许可管理工作的通知》（桂自然资规〔2025〕10号）</w:t>
      </w:r>
    </w:p>
    <w:p w14:paraId="5EDA0789">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柳州市农业农村局柳州市自然资源和规划局柳州市住房和城乡建设局印发《关于进一步加强农村宅基地管理的实施意见的通知》（柳农规〔2020〕7号）</w:t>
      </w:r>
    </w:p>
    <w:p w14:paraId="2ADA5629">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柳州市农业农村局 柳州市自然资源和规划局 柳州市住房和城乡建设局《关于印发〈关于农村新增宅基地审批和建房管理工作方案〉的通知》（柳资源规划发〔2021〕2号）</w:t>
      </w:r>
    </w:p>
    <w:p w14:paraId="38EFF6F8">
      <w:pPr>
        <w:pStyle w:val="49"/>
        <w:keepNext w:val="0"/>
        <w:keepLines w:val="0"/>
        <w:pageBreakBefore w:val="0"/>
        <w:widowControl w:val="0"/>
        <w:numPr>
          <w:ilvl w:val="0"/>
          <w:numId w:val="4"/>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eastAsia="zh-CN"/>
        </w:rPr>
      </w:pPr>
      <w:r>
        <w:rPr>
          <w:rFonts w:hint="eastAsia" w:ascii="Times New Roman" w:hAnsi="Times New Roman" w:eastAsia="仿宋"/>
          <w:color w:val="auto"/>
          <w:spacing w:val="-14"/>
          <w:sz w:val="28"/>
          <w:highlight w:val="none"/>
          <w:lang w:eastAsia="zh-CN"/>
        </w:rPr>
        <w:t>柳州市自然资源和规划局 柳州市农业农村局 柳州市住房和城乡建设局关于印发《柳州市农村农民建房“一件事”办事指南》的通知</w:t>
      </w:r>
    </w:p>
    <w:p w14:paraId="30AF5525">
      <w:pPr>
        <w:pStyle w:val="6"/>
        <w:keepNext w:val="0"/>
        <w:keepLines w:val="0"/>
        <w:spacing w:before="136" w:after="0"/>
        <w:ind w:left="662"/>
        <w:rPr>
          <w:rFonts w:hint="eastAsia" w:ascii="微软雅黑" w:hAnsi="微软雅黑" w:eastAsia="微软雅黑" w:cs="微软雅黑"/>
          <w:b/>
          <w:bCs/>
          <w:color w:val="auto"/>
          <w:sz w:val="28"/>
          <w:szCs w:val="28"/>
          <w:highlight w:val="none"/>
          <w:lang w:eastAsia="zh-CN"/>
        </w:rPr>
      </w:pPr>
      <w:r>
        <w:rPr>
          <w:rFonts w:ascii="微软雅黑" w:hAnsi="微软雅黑" w:eastAsia="微软雅黑" w:cs="微软雅黑"/>
          <w:b/>
          <w:bCs/>
          <w:color w:val="auto"/>
          <w:sz w:val="28"/>
          <w:szCs w:val="28"/>
          <w:highlight w:val="none"/>
          <w:lang w:eastAsia="zh-CN"/>
        </w:rPr>
        <w:t>（三）技术标准</w:t>
      </w:r>
    </w:p>
    <w:bookmarkEnd w:id="65"/>
    <w:p w14:paraId="31E3AA1C">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《镇规划标准》（GB50188-2007）；</w:t>
      </w:r>
    </w:p>
    <w:p w14:paraId="0A35A9B6">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《防洪标准》（GB50201-2014）；</w:t>
      </w:r>
    </w:p>
    <w:p w14:paraId="47BC5DEB">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《国土空间调查、规划、用途管制用地用海分类指南》自然资发〔2023〕234号；</w:t>
      </w:r>
    </w:p>
    <w:p w14:paraId="7818F9AA">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《社区生活圈规划技术指南》（TD/T1062-2021）；</w:t>
      </w:r>
    </w:p>
    <w:p w14:paraId="3ED889CA">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《民用建筑通用规范》（GB55031-2022）；</w:t>
      </w:r>
    </w:p>
    <w:p w14:paraId="657F5133">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《建筑设计防火规范》（GB50016-2014）（2018版）；</w:t>
      </w:r>
    </w:p>
    <w:p w14:paraId="48DBFC50">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《民用建筑设计统一标准》（GB50352-2019）；</w:t>
      </w:r>
    </w:p>
    <w:p w14:paraId="506734BD">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《城市对外交通规划规范》（GB50925-2013）</w:t>
      </w:r>
    </w:p>
    <w:p w14:paraId="605B02BE">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《农村防火规范》（GB50039-2010）；</w:t>
      </w:r>
    </w:p>
    <w:p w14:paraId="1E851E79">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《土壤环境质量建设用地土壤污染风险管控标准（试行）》（GB36600- 2018）；</w:t>
      </w:r>
    </w:p>
    <w:p w14:paraId="73EECD90">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《土壤环境质量农用地土壤污染风险管控标准（试行）》（GB15618- 2018）；</w:t>
      </w:r>
    </w:p>
    <w:p w14:paraId="2B5103B3">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《生活饮用水卫生标准》（GB85749-20</w:t>
      </w:r>
      <w:r>
        <w:rPr>
          <w:rFonts w:hint="eastAsia" w:ascii="Times New Roman" w:hAnsi="Times New Roman"/>
          <w:color w:val="auto"/>
          <w:spacing w:val="-14"/>
          <w:sz w:val="28"/>
          <w:highlight w:val="none"/>
          <w:lang w:val="en-US" w:eastAsia="zh-CN"/>
        </w:rPr>
        <w:t>22</w:t>
      </w:r>
      <w:r>
        <w:rPr>
          <w:rFonts w:hint="eastAsia" w:ascii="Times New Roman" w:hAnsi="Times New Roman" w:eastAsia="仿宋"/>
          <w:color w:val="auto"/>
          <w:spacing w:val="-14"/>
          <w:sz w:val="28"/>
          <w:highlight w:val="none"/>
          <w:lang w:val="en-US" w:eastAsia="zh-CN"/>
        </w:rPr>
        <w:t>）；</w:t>
      </w:r>
    </w:p>
    <w:p w14:paraId="5E07C391">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《分散式饮用水水源地环境保护指南（试行）》；</w:t>
      </w:r>
    </w:p>
    <w:p w14:paraId="6AE66DD6">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《农村生活污水处理工程技术标准》（GB/T51347-2019）；</w:t>
      </w:r>
    </w:p>
    <w:p w14:paraId="2510949E">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《农村公共厕所建设与管理规范》（GB/T38353-2019）；</w:t>
      </w:r>
    </w:p>
    <w:p w14:paraId="08223E34">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《中小学校设计规范》（GB 50099-2011）；</w:t>
      </w:r>
    </w:p>
    <w:p w14:paraId="24B90B56">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《农村普通中小学校建设标准》（建标[2008]159号）；</w:t>
      </w:r>
    </w:p>
    <w:p w14:paraId="69F4AFCA">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《托儿所、幼儿园建筑设计规范》（JGJ 39-2016）（2019年版）；</w:t>
      </w:r>
    </w:p>
    <w:p w14:paraId="6B08D882">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《幼儿园建设标准》（建标 175-2016）；</w:t>
      </w:r>
    </w:p>
    <w:p w14:paraId="4D66E44B">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《汽车加油加气加氢站技术标准》（GB 50156-2021）；</w:t>
      </w:r>
    </w:p>
    <w:p w14:paraId="7F50EED4">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《广西壮族自治区乡镇级国土空间规划编制技术指南（试行）》；</w:t>
      </w:r>
    </w:p>
    <w:p w14:paraId="5EE73632">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《广西农村生活污水处理技术指南（试行）》；</w:t>
      </w:r>
    </w:p>
    <w:p w14:paraId="67170DAE">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《广西农村生活垃圾处理技术指引（试行）》；</w:t>
      </w:r>
    </w:p>
    <w:p w14:paraId="74A205D5">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《广西农村公共服务中心建设工程指导手册》；</w:t>
      </w:r>
    </w:p>
    <w:p w14:paraId="2AD6D1C5">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《广西社会主义新农村建设村庄整治技术导则》；</w:t>
      </w:r>
    </w:p>
    <w:p w14:paraId="0E3A44FE">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《广西壮族自治区农房特色风貌管控导则》（2020年）；</w:t>
      </w:r>
    </w:p>
    <w:p w14:paraId="4FA33A8C">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《柳州市城乡规划管理技术规定》；</w:t>
      </w:r>
    </w:p>
    <w:p w14:paraId="45973DBE">
      <w:pPr>
        <w:pStyle w:val="49"/>
        <w:keepNext w:val="0"/>
        <w:keepLines w:val="0"/>
        <w:pageBreakBefore w:val="0"/>
        <w:widowControl w:val="0"/>
        <w:numPr>
          <w:ilvl w:val="0"/>
          <w:numId w:val="5"/>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《柳州市农村农民建房“一件事”办事指南》。</w:t>
      </w:r>
    </w:p>
    <w:p w14:paraId="0DEF5108">
      <w:pPr>
        <w:pStyle w:val="6"/>
        <w:keepNext w:val="0"/>
        <w:keepLines w:val="0"/>
        <w:spacing w:before="0" w:after="0" w:line="429" w:lineRule="exact"/>
        <w:ind w:left="662"/>
        <w:rPr>
          <w:rFonts w:hint="eastAsia" w:ascii="微软雅黑" w:hAnsi="微软雅黑" w:eastAsia="微软雅黑" w:cs="微软雅黑"/>
          <w:b/>
          <w:bCs/>
          <w:color w:val="auto"/>
          <w:sz w:val="28"/>
          <w:szCs w:val="28"/>
          <w:highlight w:val="none"/>
          <w:lang w:eastAsia="zh-CN"/>
        </w:rPr>
      </w:pPr>
      <w:r>
        <w:rPr>
          <w:rFonts w:ascii="微软雅黑" w:hAnsi="微软雅黑" w:eastAsia="微软雅黑" w:cs="微软雅黑"/>
          <w:b/>
          <w:bCs/>
          <w:color w:val="auto"/>
          <w:sz w:val="28"/>
          <w:szCs w:val="28"/>
          <w:highlight w:val="none"/>
          <w:lang w:eastAsia="zh-CN"/>
        </w:rPr>
        <w:t>（四）相关规划</w:t>
      </w:r>
    </w:p>
    <w:p w14:paraId="53A1923A">
      <w:pPr>
        <w:pStyle w:val="49"/>
        <w:keepNext w:val="0"/>
        <w:keepLines w:val="0"/>
        <w:pageBreakBefore w:val="0"/>
        <w:widowControl w:val="0"/>
        <w:numPr>
          <w:ilvl w:val="0"/>
          <w:numId w:val="6"/>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《柳州市国土空间总体规划（2021—2035年）》；</w:t>
      </w:r>
    </w:p>
    <w:p w14:paraId="3C36F5B5">
      <w:pPr>
        <w:pStyle w:val="49"/>
        <w:keepNext w:val="0"/>
        <w:keepLines w:val="0"/>
        <w:pageBreakBefore w:val="0"/>
        <w:widowControl w:val="0"/>
        <w:numPr>
          <w:ilvl w:val="0"/>
          <w:numId w:val="6"/>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《柳州市水系景观和保护规划》；</w:t>
      </w:r>
    </w:p>
    <w:p w14:paraId="189CEA80">
      <w:pPr>
        <w:pStyle w:val="49"/>
        <w:keepNext w:val="0"/>
        <w:keepLines w:val="0"/>
        <w:pageBreakBefore w:val="0"/>
        <w:widowControl w:val="0"/>
        <w:numPr>
          <w:ilvl w:val="0"/>
          <w:numId w:val="6"/>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《柳州市农村自建房图集》；</w:t>
      </w:r>
    </w:p>
    <w:p w14:paraId="237CFDE4">
      <w:pPr>
        <w:pStyle w:val="49"/>
        <w:keepNext w:val="0"/>
        <w:keepLines w:val="0"/>
        <w:pageBreakBefore w:val="0"/>
        <w:widowControl w:val="0"/>
        <w:numPr>
          <w:ilvl w:val="0"/>
          <w:numId w:val="6"/>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《柳南区国民经济和社会发展第十四个五年规划及2035年远景目标纲要》；</w:t>
      </w:r>
    </w:p>
    <w:p w14:paraId="67CAA97D">
      <w:pPr>
        <w:pStyle w:val="49"/>
        <w:keepNext w:val="0"/>
        <w:keepLines w:val="0"/>
        <w:pageBreakBefore w:val="0"/>
        <w:widowControl w:val="0"/>
        <w:numPr>
          <w:ilvl w:val="0"/>
          <w:numId w:val="6"/>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《柳州市柳南区水土保持规划2024-2030》；</w:t>
      </w:r>
    </w:p>
    <w:p w14:paraId="64D51107">
      <w:pPr>
        <w:pStyle w:val="49"/>
        <w:keepNext w:val="0"/>
        <w:keepLines w:val="0"/>
        <w:pageBreakBefore w:val="0"/>
        <w:widowControl w:val="0"/>
        <w:numPr>
          <w:ilvl w:val="0"/>
          <w:numId w:val="6"/>
        </w:numPr>
        <w:tabs>
          <w:tab w:val="left" w:pos="1079"/>
          <w:tab w:val="left" w:pos="1080"/>
        </w:tabs>
        <w:kinsoku/>
        <w:wordWrap/>
        <w:overflowPunct/>
        <w:topLinePunct w:val="0"/>
        <w:autoSpaceDE w:val="0"/>
        <w:autoSpaceDN w:val="0"/>
        <w:bidi w:val="0"/>
        <w:adjustRightInd/>
        <w:snapToGrid/>
        <w:spacing w:before="2" w:line="360" w:lineRule="auto"/>
        <w:ind w:left="1077" w:right="397" w:hanging="420"/>
        <w:contextualSpacing w:val="0"/>
        <w:textAlignment w:val="auto"/>
        <w:rPr>
          <w:rFonts w:hint="eastAsia" w:ascii="Times New Roman" w:hAnsi="Times New Roman" w:eastAsia="仿宋"/>
          <w:color w:val="auto"/>
          <w:spacing w:val="-14"/>
          <w:sz w:val="28"/>
          <w:highlight w:val="none"/>
          <w:lang w:val="en-US" w:eastAsia="zh-CN"/>
        </w:rPr>
      </w:pPr>
      <w:r>
        <w:rPr>
          <w:rFonts w:hint="eastAsia" w:ascii="Times New Roman" w:hAnsi="Times New Roman" w:eastAsia="仿宋"/>
          <w:color w:val="auto"/>
          <w:spacing w:val="-14"/>
          <w:sz w:val="28"/>
          <w:highlight w:val="none"/>
          <w:lang w:val="en-US" w:eastAsia="zh-CN"/>
        </w:rPr>
        <w:t>其他相关法律法规、政策文件、技术标准和规划计划。</w:t>
      </w:r>
    </w:p>
    <w:p w14:paraId="27723A98">
      <w:pPr>
        <w:pStyle w:val="3"/>
        <w:keepNext w:val="0"/>
        <w:keepLines w:val="0"/>
        <w:spacing w:before="0" w:after="0" w:line="524" w:lineRule="exact"/>
        <w:ind w:right="300"/>
        <w:jc w:val="both"/>
        <w:rPr>
          <w:rFonts w:ascii="微软雅黑" w:hAnsi="微软雅黑" w:eastAsia="微软雅黑" w:cs="微软雅黑"/>
          <w:b/>
          <w:bCs/>
          <w:color w:val="auto"/>
          <w:sz w:val="32"/>
          <w:szCs w:val="32"/>
          <w:highlight w:val="none"/>
          <w:lang w:eastAsia="zh-CN"/>
        </w:rPr>
      </w:pPr>
      <w:bookmarkStart w:id="51" w:name="_bookmark33"/>
      <w:bookmarkEnd w:id="51"/>
    </w:p>
    <w:p w14:paraId="7C4E8A4B">
      <w:pPr>
        <w:rPr>
          <w:rFonts w:ascii="微软雅黑" w:hAnsi="微软雅黑" w:eastAsia="微软雅黑" w:cs="微软雅黑"/>
          <w:b/>
          <w:bCs/>
          <w:color w:val="auto"/>
          <w:sz w:val="32"/>
          <w:szCs w:val="32"/>
          <w:highlight w:val="none"/>
          <w:lang w:eastAsia="zh-CN"/>
        </w:rPr>
      </w:pPr>
    </w:p>
    <w:p w14:paraId="3F201D53">
      <w:pPr>
        <w:rPr>
          <w:rFonts w:ascii="微软雅黑" w:hAnsi="微软雅黑" w:eastAsia="微软雅黑" w:cs="微软雅黑"/>
          <w:b/>
          <w:bCs/>
          <w:color w:val="auto"/>
          <w:sz w:val="32"/>
          <w:szCs w:val="32"/>
          <w:highlight w:val="none"/>
          <w:lang w:eastAsia="zh-CN"/>
        </w:rPr>
      </w:pPr>
    </w:p>
    <w:p w14:paraId="754FFC79">
      <w:pPr>
        <w:rPr>
          <w:rFonts w:ascii="微软雅黑" w:hAnsi="微软雅黑" w:eastAsia="微软雅黑" w:cs="微软雅黑"/>
          <w:b/>
          <w:bCs/>
          <w:color w:val="auto"/>
          <w:sz w:val="32"/>
          <w:szCs w:val="32"/>
          <w:highlight w:val="none"/>
          <w:lang w:eastAsia="zh-CN"/>
        </w:rPr>
      </w:pPr>
    </w:p>
    <w:p w14:paraId="1438D157">
      <w:pPr>
        <w:rPr>
          <w:rFonts w:ascii="微软雅黑" w:hAnsi="微软雅黑" w:eastAsia="微软雅黑" w:cs="微软雅黑"/>
          <w:b/>
          <w:bCs/>
          <w:color w:val="auto"/>
          <w:sz w:val="32"/>
          <w:szCs w:val="32"/>
          <w:highlight w:val="none"/>
          <w:lang w:eastAsia="zh-CN"/>
        </w:rPr>
      </w:pPr>
    </w:p>
    <w:p w14:paraId="37AF490C">
      <w:pPr>
        <w:rPr>
          <w:rFonts w:ascii="微软雅黑" w:hAnsi="微软雅黑" w:eastAsia="微软雅黑" w:cs="微软雅黑"/>
          <w:b/>
          <w:bCs/>
          <w:color w:val="auto"/>
          <w:sz w:val="32"/>
          <w:szCs w:val="32"/>
          <w:highlight w:val="none"/>
          <w:lang w:eastAsia="zh-CN"/>
        </w:rPr>
      </w:pPr>
    </w:p>
    <w:p w14:paraId="1083E772">
      <w:pPr>
        <w:rPr>
          <w:rFonts w:ascii="微软雅黑" w:hAnsi="微软雅黑" w:eastAsia="微软雅黑" w:cs="微软雅黑"/>
          <w:b/>
          <w:bCs/>
          <w:color w:val="auto"/>
          <w:sz w:val="32"/>
          <w:szCs w:val="32"/>
          <w:highlight w:val="none"/>
          <w:lang w:eastAsia="zh-CN"/>
        </w:rPr>
      </w:pPr>
    </w:p>
    <w:p w14:paraId="25433B13">
      <w:pPr>
        <w:rPr>
          <w:rFonts w:ascii="微软雅黑" w:hAnsi="微软雅黑" w:eastAsia="微软雅黑" w:cs="微软雅黑"/>
          <w:b/>
          <w:bCs/>
          <w:color w:val="auto"/>
          <w:sz w:val="32"/>
          <w:szCs w:val="32"/>
          <w:highlight w:val="none"/>
          <w:lang w:eastAsia="zh-CN"/>
        </w:rPr>
      </w:pPr>
    </w:p>
    <w:p w14:paraId="5B7C68CB">
      <w:pPr>
        <w:rPr>
          <w:rFonts w:ascii="微软雅黑" w:hAnsi="微软雅黑" w:eastAsia="微软雅黑" w:cs="微软雅黑"/>
          <w:b/>
          <w:bCs/>
          <w:color w:val="auto"/>
          <w:sz w:val="32"/>
          <w:szCs w:val="32"/>
          <w:highlight w:val="none"/>
          <w:lang w:eastAsia="zh-CN"/>
        </w:rPr>
      </w:pPr>
    </w:p>
    <w:p w14:paraId="6A871AE2">
      <w:pPr>
        <w:rPr>
          <w:rFonts w:ascii="微软雅黑" w:hAnsi="微软雅黑" w:eastAsia="微软雅黑" w:cs="微软雅黑"/>
          <w:b/>
          <w:bCs/>
          <w:color w:val="auto"/>
          <w:sz w:val="32"/>
          <w:szCs w:val="32"/>
          <w:highlight w:val="none"/>
          <w:lang w:eastAsia="zh-CN"/>
        </w:rPr>
      </w:pPr>
    </w:p>
    <w:p w14:paraId="05B347FF">
      <w:pPr>
        <w:pStyle w:val="3"/>
        <w:keepNext w:val="0"/>
        <w:keepLines w:val="0"/>
        <w:spacing w:before="0" w:after="0" w:line="524" w:lineRule="exact"/>
        <w:ind w:right="300"/>
        <w:jc w:val="center"/>
        <w:rPr>
          <w:rFonts w:hint="eastAsia" w:ascii="微软雅黑" w:hAnsi="微软雅黑" w:eastAsia="微软雅黑" w:cs="微软雅黑"/>
          <w:b/>
          <w:bCs/>
          <w:color w:val="auto"/>
          <w:sz w:val="32"/>
          <w:szCs w:val="32"/>
          <w:highlight w:val="none"/>
          <w:lang w:eastAsia="zh-CN"/>
        </w:rPr>
      </w:pPr>
      <w:bookmarkStart w:id="52" w:name="_Toc6520"/>
      <w:r>
        <w:rPr>
          <w:rFonts w:ascii="微软雅黑" w:hAnsi="微软雅黑" w:eastAsia="微软雅黑" w:cs="微软雅黑"/>
          <w:b/>
          <w:bCs/>
          <w:color w:val="auto"/>
          <w:sz w:val="32"/>
          <w:szCs w:val="32"/>
          <w:highlight w:val="none"/>
          <w:lang w:eastAsia="zh-CN"/>
        </w:rPr>
        <w:t>附表</w:t>
      </w:r>
      <w:bookmarkEnd w:id="52"/>
    </w:p>
    <w:p w14:paraId="49DDAD65">
      <w:pPr>
        <w:pStyle w:val="11"/>
        <w:spacing w:before="11"/>
        <w:ind w:left="0"/>
        <w:rPr>
          <w:rFonts w:hint="eastAsia" w:ascii="微软雅黑"/>
          <w:b/>
          <w:color w:val="auto"/>
          <w:sz w:val="20"/>
          <w:highlight w:val="none"/>
          <w:lang w:eastAsia="zh-CN"/>
        </w:rPr>
      </w:pPr>
    </w:p>
    <w:p w14:paraId="5851D887">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bookmarkStart w:id="53" w:name="_bookmark34"/>
      <w:bookmarkEnd w:id="53"/>
      <w:r>
        <w:rPr>
          <w:rFonts w:ascii="微软雅黑" w:hAnsi="微软雅黑" w:eastAsia="微软雅黑" w:cs="微软雅黑"/>
          <w:b/>
          <w:bCs/>
          <w:color w:val="auto"/>
          <w:sz w:val="30"/>
          <w:szCs w:val="30"/>
          <w:highlight w:val="none"/>
          <w:lang w:eastAsia="zh-CN"/>
        </w:rPr>
        <w:t>附表一 村庄建设用地指标分解表</w:t>
      </w:r>
    </w:p>
    <w:p w14:paraId="75C98AF5">
      <w:pPr>
        <w:rPr>
          <w:rFonts w:hint="eastAsia"/>
          <w:color w:val="auto"/>
          <w:sz w:val="21"/>
          <w:highlight w:val="none"/>
          <w:lang w:eastAsia="zh-CN"/>
        </w:rPr>
      </w:pPr>
    </w:p>
    <w:tbl>
      <w:tblPr>
        <w:tblStyle w:val="20"/>
        <w:tblW w:w="453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5"/>
        <w:gridCol w:w="10"/>
        <w:gridCol w:w="929"/>
        <w:gridCol w:w="17"/>
        <w:gridCol w:w="946"/>
        <w:gridCol w:w="1396"/>
        <w:gridCol w:w="1321"/>
        <w:gridCol w:w="1483"/>
        <w:gridCol w:w="1404"/>
        <w:gridCol w:w="1201"/>
      </w:tblGrid>
      <w:tr w14:paraId="308AE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270" w:type="pct"/>
            <w:gridSpan w:val="2"/>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2B2CD214">
            <w:pPr>
              <w:keepNext w:val="0"/>
              <w:keepLines w:val="0"/>
              <w:widowControl/>
              <w:suppressLineNumbers w:val="0"/>
              <w:jc w:val="both"/>
              <w:textAlignment w:val="center"/>
              <w:rPr>
                <w:rFonts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序号</w:t>
            </w:r>
          </w:p>
        </w:tc>
        <w:tc>
          <w:tcPr>
            <w:tcW w:w="514" w:type="pct"/>
            <w:gridSpan w:val="2"/>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5A4A1AD9">
            <w:pPr>
              <w:keepNext w:val="0"/>
              <w:keepLines w:val="0"/>
              <w:widowControl/>
              <w:suppressLineNumbers w:val="0"/>
              <w:jc w:val="both"/>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乡（镇）</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1459B98F">
            <w:pPr>
              <w:keepNext w:val="0"/>
              <w:keepLines w:val="0"/>
              <w:widowControl/>
              <w:suppressLineNumbers w:val="0"/>
              <w:jc w:val="both"/>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行政村</w:t>
            </w:r>
          </w:p>
        </w:tc>
        <w:tc>
          <w:tcPr>
            <w:tcW w:w="1477" w:type="pct"/>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57959B23">
            <w:pPr>
              <w:keepNext w:val="0"/>
              <w:keepLines w:val="0"/>
              <w:widowControl/>
              <w:suppressLineNumbers w:val="0"/>
              <w:jc w:val="both"/>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村庄建设用地总面积（公顷）</w:t>
            </w:r>
          </w:p>
        </w:tc>
        <w:tc>
          <w:tcPr>
            <w:tcW w:w="806" w:type="pct"/>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6446025D">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村庄分类</w:t>
            </w:r>
          </w:p>
        </w:tc>
        <w:tc>
          <w:tcPr>
            <w:tcW w:w="763" w:type="pct"/>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4BCB4DCD">
            <w:pPr>
              <w:keepNext w:val="0"/>
              <w:keepLines w:val="0"/>
              <w:widowControl/>
              <w:suppressLineNumbers w:val="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是否编制村庄规划</w:t>
            </w:r>
          </w:p>
        </w:tc>
        <w:tc>
          <w:tcPr>
            <w:tcW w:w="653" w:type="pct"/>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6406E5BA">
            <w:pPr>
              <w:keepNext w:val="0"/>
              <w:keepLines w:val="0"/>
              <w:widowControl/>
              <w:suppressLineNumbers w:val="0"/>
              <w:jc w:val="both"/>
              <w:textAlignment w:val="center"/>
              <w:rPr>
                <w:rFonts w:hint="default" w:ascii="仿宋_GB2312" w:hAnsi="宋体" w:eastAsia="仿宋_GB2312" w:cs="仿宋_GB2312"/>
                <w:b/>
                <w:bCs/>
                <w:i w:val="0"/>
                <w:iCs w:val="0"/>
                <w:color w:val="auto"/>
                <w:sz w:val="22"/>
                <w:szCs w:val="22"/>
                <w:highlight w:val="none"/>
                <w:u w:val="none"/>
                <w:lang w:val="en-US"/>
              </w:rPr>
            </w:pPr>
            <w:r>
              <w:rPr>
                <w:rFonts w:hint="eastAsia" w:ascii="仿宋_GB2312" w:hAnsi="宋体" w:eastAsia="仿宋_GB2312" w:cs="仿宋_GB2312"/>
                <w:b/>
                <w:bCs/>
                <w:i w:val="0"/>
                <w:iCs w:val="0"/>
                <w:color w:val="auto"/>
                <w:kern w:val="0"/>
                <w:sz w:val="22"/>
                <w:szCs w:val="22"/>
                <w:highlight w:val="none"/>
                <w:u w:val="none"/>
                <w:lang w:val="en-US" w:eastAsia="zh-CN" w:bidi="ar"/>
              </w:rPr>
              <w:t>备注</w:t>
            </w:r>
          </w:p>
        </w:tc>
      </w:tr>
      <w:tr w14:paraId="35E44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0" w:type="pct"/>
            <w:gridSpan w:val="2"/>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5D65D652">
            <w:pPr>
              <w:jc w:val="both"/>
              <w:rPr>
                <w:rFonts w:hint="eastAsia" w:ascii="仿宋_GB2312" w:hAnsi="宋体" w:eastAsia="仿宋_GB2312" w:cs="仿宋_GB2312"/>
                <w:b/>
                <w:bCs/>
                <w:i w:val="0"/>
                <w:iCs w:val="0"/>
                <w:color w:val="auto"/>
                <w:sz w:val="22"/>
                <w:szCs w:val="22"/>
                <w:highlight w:val="none"/>
                <w:u w:val="none"/>
              </w:rPr>
            </w:pP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09DF659A">
            <w:pPr>
              <w:jc w:val="both"/>
              <w:rPr>
                <w:rFonts w:hint="eastAsia" w:ascii="仿宋_GB2312" w:hAnsi="宋体" w:eastAsia="仿宋_GB2312" w:cs="仿宋_GB2312"/>
                <w:b/>
                <w:bCs/>
                <w:i w:val="0"/>
                <w:iCs w:val="0"/>
                <w:color w:val="auto"/>
                <w:sz w:val="22"/>
                <w:szCs w:val="22"/>
                <w:highlight w:val="none"/>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200C3E7B">
            <w:pPr>
              <w:jc w:val="both"/>
              <w:rPr>
                <w:rFonts w:hint="eastAsia" w:ascii="仿宋_GB2312" w:hAnsi="宋体" w:eastAsia="仿宋_GB2312" w:cs="仿宋_GB2312"/>
                <w:b/>
                <w:bCs/>
                <w:i w:val="0"/>
                <w:iCs w:val="0"/>
                <w:color w:val="auto"/>
                <w:sz w:val="22"/>
                <w:szCs w:val="22"/>
                <w:highlight w:val="none"/>
                <w:u w:val="none"/>
              </w:rPr>
            </w:pPr>
          </w:p>
        </w:tc>
        <w:tc>
          <w:tcPr>
            <w:tcW w:w="759"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37B26C2B">
            <w:pPr>
              <w:keepNext w:val="0"/>
              <w:keepLines w:val="0"/>
              <w:widowControl/>
              <w:suppressLineNumbers w:val="0"/>
              <w:jc w:val="both"/>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规划基期年</w:t>
            </w:r>
          </w:p>
        </w:tc>
        <w:tc>
          <w:tcPr>
            <w:tcW w:w="718"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3616466">
            <w:pPr>
              <w:keepNext w:val="0"/>
              <w:keepLines w:val="0"/>
              <w:widowControl/>
              <w:suppressLineNumbers w:val="0"/>
              <w:jc w:val="both"/>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规划目标年</w:t>
            </w:r>
          </w:p>
        </w:tc>
        <w:tc>
          <w:tcPr>
            <w:tcW w:w="806" w:type="pct"/>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17336E08">
            <w:pPr>
              <w:jc w:val="both"/>
              <w:rPr>
                <w:rFonts w:hint="eastAsia" w:ascii="仿宋_GB2312" w:hAnsi="宋体" w:eastAsia="仿宋_GB2312" w:cs="仿宋_GB2312"/>
                <w:b/>
                <w:bCs/>
                <w:i w:val="0"/>
                <w:iCs w:val="0"/>
                <w:color w:val="auto"/>
                <w:sz w:val="22"/>
                <w:szCs w:val="22"/>
                <w:highlight w:val="none"/>
                <w:u w:val="none"/>
              </w:rPr>
            </w:pPr>
          </w:p>
        </w:tc>
        <w:tc>
          <w:tcPr>
            <w:tcW w:w="763" w:type="pct"/>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061EBF3C">
            <w:pPr>
              <w:jc w:val="both"/>
              <w:rPr>
                <w:rFonts w:hint="eastAsia" w:ascii="仿宋_GB2312" w:hAnsi="宋体" w:eastAsia="仿宋_GB2312" w:cs="仿宋_GB2312"/>
                <w:b/>
                <w:bCs/>
                <w:i w:val="0"/>
                <w:iCs w:val="0"/>
                <w:color w:val="auto"/>
                <w:sz w:val="22"/>
                <w:szCs w:val="22"/>
                <w:highlight w:val="none"/>
                <w:u w:val="none"/>
              </w:rPr>
            </w:pPr>
          </w:p>
        </w:tc>
        <w:tc>
          <w:tcPr>
            <w:tcW w:w="653" w:type="pct"/>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7A9AB942">
            <w:pPr>
              <w:jc w:val="both"/>
              <w:rPr>
                <w:rFonts w:hint="eastAsia" w:ascii="仿宋_GB2312" w:hAnsi="宋体" w:eastAsia="仿宋_GB2312" w:cs="仿宋_GB2312"/>
                <w:b/>
                <w:bCs/>
                <w:i w:val="0"/>
                <w:iCs w:val="0"/>
                <w:color w:val="auto"/>
                <w:sz w:val="22"/>
                <w:szCs w:val="22"/>
                <w:highlight w:val="none"/>
                <w:u w:val="none"/>
              </w:rPr>
            </w:pPr>
          </w:p>
        </w:tc>
      </w:tr>
      <w:tr w14:paraId="3BDC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right w:val="single" w:color="000000" w:sz="4" w:space="0"/>
            </w:tcBorders>
            <w:shd w:val="clear" w:color="auto" w:fill="auto"/>
            <w:vAlign w:val="center"/>
          </w:tcPr>
          <w:p w14:paraId="4DF33C43">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514" w:type="pct"/>
            <w:gridSpan w:val="2"/>
            <w:tcBorders>
              <w:top w:val="single" w:color="000000" w:sz="4" w:space="0"/>
              <w:left w:val="single" w:color="000000" w:sz="4" w:space="0"/>
              <w:right w:val="single" w:color="000000" w:sz="4" w:space="0"/>
            </w:tcBorders>
            <w:shd w:val="clear" w:color="auto" w:fill="auto"/>
            <w:vAlign w:val="center"/>
          </w:tcPr>
          <w:p w14:paraId="38AF24FF">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南环街道办</w:t>
            </w:r>
          </w:p>
        </w:tc>
        <w:tc>
          <w:tcPr>
            <w:tcW w:w="5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832FF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门头村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23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52.4678</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5FE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52.4678</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AD67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暂不分类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C689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15ED">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zh-CN"/>
              </w:rPr>
            </w:pPr>
          </w:p>
        </w:tc>
      </w:tr>
      <w:tr w14:paraId="14A02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298" w:type="pct"/>
            <w:gridSpan w:val="5"/>
            <w:tcBorders>
              <w:top w:val="single" w:color="000000" w:sz="4" w:space="0"/>
              <w:left w:val="single" w:color="000000" w:sz="4" w:space="0"/>
              <w:bottom w:val="single" w:color="000000" w:sz="4" w:space="0"/>
              <w:right w:val="single" w:color="000000" w:sz="4" w:space="0"/>
            </w:tcBorders>
            <w:shd w:val="clear" w:color="auto" w:fill="D9D9D9"/>
            <w:vAlign w:val="center"/>
          </w:tcPr>
          <w:p w14:paraId="2DFF75F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小计</w:t>
            </w:r>
          </w:p>
        </w:tc>
        <w:tc>
          <w:tcPr>
            <w:tcW w:w="1396"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7D458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52.4678</w:t>
            </w:r>
          </w:p>
        </w:tc>
        <w:tc>
          <w:tcPr>
            <w:tcW w:w="132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C55101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52.4678</w:t>
            </w:r>
          </w:p>
        </w:tc>
        <w:tc>
          <w:tcPr>
            <w:tcW w:w="806"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62F052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76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289BE2C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65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4809D282">
            <w:pPr>
              <w:jc w:val="both"/>
              <w:rPr>
                <w:rFonts w:hint="eastAsia" w:ascii="宋体" w:hAnsi="宋体" w:eastAsia="宋体" w:cs="宋体"/>
                <w:i w:val="0"/>
                <w:iCs w:val="0"/>
                <w:color w:val="auto"/>
                <w:sz w:val="22"/>
                <w:szCs w:val="22"/>
                <w:highlight w:val="none"/>
                <w:u w:val="none"/>
              </w:rPr>
            </w:pPr>
          </w:p>
        </w:tc>
      </w:tr>
      <w:tr w14:paraId="4F75E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64" w:type="pct"/>
            <w:tcBorders>
              <w:top w:val="single" w:color="000000" w:sz="4" w:space="0"/>
              <w:left w:val="single" w:color="000000" w:sz="4" w:space="0"/>
              <w:right w:val="single" w:color="auto" w:sz="4" w:space="0"/>
            </w:tcBorders>
            <w:shd w:val="clear" w:color="auto" w:fill="auto"/>
            <w:vAlign w:val="center"/>
          </w:tcPr>
          <w:p w14:paraId="6DEF92C5">
            <w:pPr>
              <w:keepNext w:val="0"/>
              <w:keepLines w:val="0"/>
              <w:widowControl/>
              <w:suppressLineNumbers w:val="0"/>
              <w:jc w:val="both"/>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2</w:t>
            </w:r>
          </w:p>
        </w:tc>
        <w:tc>
          <w:tcPr>
            <w:tcW w:w="511" w:type="pct"/>
            <w:gridSpan w:val="2"/>
            <w:tcBorders>
              <w:top w:val="single" w:color="000000" w:sz="4" w:space="0"/>
              <w:left w:val="single" w:color="auto" w:sz="4" w:space="0"/>
              <w:right w:val="single" w:color="auto" w:sz="4" w:space="0"/>
            </w:tcBorders>
            <w:shd w:val="clear" w:color="auto" w:fill="auto"/>
            <w:vAlign w:val="center"/>
          </w:tcPr>
          <w:p w14:paraId="6DB27348">
            <w:pPr>
              <w:keepNext w:val="0"/>
              <w:keepLines w:val="0"/>
              <w:widowControl/>
              <w:suppressLineNumbers w:val="0"/>
              <w:jc w:val="both"/>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潭西街道办</w:t>
            </w:r>
          </w:p>
        </w:tc>
        <w:tc>
          <w:tcPr>
            <w:tcW w:w="522"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7C1412D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基隆村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FCC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0.2353</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31B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0.2353</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363F4">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城郊融合类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62B13">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059E">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p>
        </w:tc>
      </w:tr>
      <w:tr w14:paraId="6B70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298" w:type="pct"/>
            <w:gridSpan w:val="5"/>
            <w:tcBorders>
              <w:top w:val="single" w:color="000000" w:sz="4" w:space="0"/>
              <w:left w:val="single" w:color="000000" w:sz="4" w:space="0"/>
              <w:bottom w:val="single" w:color="000000" w:sz="4" w:space="0"/>
              <w:right w:val="single" w:color="000000" w:sz="4" w:space="0"/>
            </w:tcBorders>
            <w:shd w:val="clear" w:color="auto" w:fill="D9D9D9"/>
            <w:vAlign w:val="center"/>
          </w:tcPr>
          <w:p w14:paraId="4B70AF0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小计</w:t>
            </w:r>
          </w:p>
        </w:tc>
        <w:tc>
          <w:tcPr>
            <w:tcW w:w="1396"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D6D7B13">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0.2353</w:t>
            </w:r>
          </w:p>
        </w:tc>
        <w:tc>
          <w:tcPr>
            <w:tcW w:w="132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C4283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0.2353</w:t>
            </w:r>
          </w:p>
        </w:tc>
        <w:tc>
          <w:tcPr>
            <w:tcW w:w="806"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DFC04E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76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2E7E28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65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9178567">
            <w:pPr>
              <w:jc w:val="both"/>
              <w:rPr>
                <w:rFonts w:hint="eastAsia" w:ascii="宋体" w:hAnsi="宋体" w:eastAsia="宋体" w:cs="宋体"/>
                <w:i w:val="0"/>
                <w:iCs w:val="0"/>
                <w:color w:val="auto"/>
                <w:sz w:val="22"/>
                <w:szCs w:val="22"/>
                <w:highlight w:val="none"/>
                <w:u w:val="none"/>
                <w:lang w:val="en-US" w:eastAsia="en-US" w:bidi="ar-SA"/>
              </w:rPr>
            </w:pPr>
          </w:p>
        </w:tc>
      </w:tr>
      <w:tr w14:paraId="7B17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5F2FF">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2</w:t>
            </w:r>
          </w:p>
        </w:tc>
        <w:tc>
          <w:tcPr>
            <w:tcW w:w="5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1813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太阳村镇</w:t>
            </w:r>
            <w:r>
              <w:rPr>
                <w:rFonts w:hint="eastAsia" w:ascii="宋体" w:hAnsi="宋体" w:cs="宋体"/>
                <w:i w:val="0"/>
                <w:iCs w:val="0"/>
                <w:color w:val="auto"/>
                <w:kern w:val="0"/>
                <w:sz w:val="21"/>
                <w:szCs w:val="21"/>
                <w:highlight w:val="none"/>
                <w:u w:val="none"/>
                <w:lang w:val="en-US" w:eastAsia="zh-CN" w:bidi="ar"/>
              </w:rPr>
              <w:t>13</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9BC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上等村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D82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37.4560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C88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39.4224</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79CDB">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城郊融合类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D3CF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A590A">
            <w:pPr>
              <w:jc w:val="both"/>
              <w:rPr>
                <w:rFonts w:hint="default" w:ascii="宋体" w:hAnsi="宋体" w:eastAsia="宋体" w:cs="宋体"/>
                <w:i w:val="0"/>
                <w:iCs w:val="0"/>
                <w:color w:val="auto"/>
                <w:sz w:val="22"/>
                <w:szCs w:val="22"/>
                <w:highlight w:val="none"/>
                <w:u w:val="none"/>
                <w:lang w:val="en-US" w:eastAsia="zh-CN"/>
              </w:rPr>
            </w:pPr>
          </w:p>
        </w:tc>
      </w:tr>
      <w:tr w14:paraId="0E75B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5CFA0">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3</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FA2C2">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4E1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太阳村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96E5">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33.5229</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43C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44.34</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4893">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60C73">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2F9A1">
            <w:pPr>
              <w:jc w:val="both"/>
              <w:rPr>
                <w:rFonts w:hint="default" w:ascii="宋体" w:hAnsi="宋体" w:eastAsia="宋体" w:cs="宋体"/>
                <w:i w:val="0"/>
                <w:iCs w:val="0"/>
                <w:color w:val="auto"/>
                <w:sz w:val="22"/>
                <w:szCs w:val="22"/>
                <w:highlight w:val="none"/>
                <w:u w:val="none"/>
                <w:lang w:val="en-US" w:eastAsia="zh-CN"/>
              </w:rPr>
            </w:pPr>
          </w:p>
        </w:tc>
      </w:tr>
      <w:tr w14:paraId="5DF5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3DA0C">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4</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1C1B2">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982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新圩村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E38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27.8401</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B0B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31.2987</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0B1B9">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7A52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0113">
            <w:pPr>
              <w:jc w:val="both"/>
              <w:rPr>
                <w:rFonts w:hint="default" w:ascii="宋体" w:hAnsi="宋体" w:eastAsia="宋体" w:cs="宋体"/>
                <w:i w:val="0"/>
                <w:iCs w:val="0"/>
                <w:color w:val="auto"/>
                <w:sz w:val="22"/>
                <w:szCs w:val="22"/>
                <w:highlight w:val="none"/>
                <w:u w:val="none"/>
                <w:lang w:val="en-US" w:eastAsia="zh-CN"/>
              </w:rPr>
            </w:pPr>
          </w:p>
        </w:tc>
      </w:tr>
      <w:tr w14:paraId="535CC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32240">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5</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1F861">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5CAB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和平村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42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5.0462</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7A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5.0462</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E869B">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城郊融合类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4E27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CFAF8">
            <w:pPr>
              <w:jc w:val="both"/>
              <w:rPr>
                <w:rFonts w:hint="default" w:ascii="宋体" w:hAnsi="宋体" w:eastAsia="宋体" w:cs="宋体"/>
                <w:i w:val="0"/>
                <w:iCs w:val="0"/>
                <w:color w:val="auto"/>
                <w:sz w:val="22"/>
                <w:szCs w:val="22"/>
                <w:highlight w:val="none"/>
                <w:u w:val="none"/>
                <w:lang w:val="en-US" w:eastAsia="zh-CN"/>
              </w:rPr>
            </w:pPr>
          </w:p>
        </w:tc>
      </w:tr>
      <w:tr w14:paraId="75971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293BC">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6</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A3AC1">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3D1A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山湾村</w:t>
            </w:r>
          </w:p>
        </w:tc>
        <w:tc>
          <w:tcPr>
            <w:tcW w:w="139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6CA6A0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23.8606</w:t>
            </w:r>
          </w:p>
        </w:tc>
        <w:tc>
          <w:tcPr>
            <w:tcW w:w="132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C4994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26.3531</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8EB49">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4D2C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6EE2D">
            <w:pPr>
              <w:jc w:val="both"/>
              <w:rPr>
                <w:rFonts w:hint="default" w:ascii="宋体" w:hAnsi="宋体" w:eastAsia="宋体" w:cs="宋体"/>
                <w:i w:val="0"/>
                <w:iCs w:val="0"/>
                <w:color w:val="auto"/>
                <w:sz w:val="22"/>
                <w:szCs w:val="22"/>
                <w:highlight w:val="none"/>
                <w:u w:val="none"/>
                <w:lang w:val="en-US" w:eastAsia="zh-CN"/>
              </w:rPr>
            </w:pPr>
          </w:p>
        </w:tc>
      </w:tr>
      <w:tr w14:paraId="0083F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A0EE6">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7</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B2026">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auto" w:sz="4" w:space="0"/>
              <w:right w:val="single" w:color="auto" w:sz="4" w:space="0"/>
            </w:tcBorders>
            <w:shd w:val="clear" w:color="auto" w:fill="auto"/>
            <w:vAlign w:val="center"/>
          </w:tcPr>
          <w:p w14:paraId="74CCD39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百乐村</w:t>
            </w:r>
          </w:p>
        </w:tc>
        <w:tc>
          <w:tcPr>
            <w:tcW w:w="13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32C3D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22.8696</w:t>
            </w:r>
          </w:p>
        </w:tc>
        <w:tc>
          <w:tcPr>
            <w:tcW w:w="1321" w:type="dxa"/>
            <w:tcBorders>
              <w:top w:val="single" w:color="auto" w:sz="4" w:space="0"/>
              <w:left w:val="single" w:color="auto" w:sz="4" w:space="0"/>
              <w:bottom w:val="single" w:color="auto" w:sz="4" w:space="0"/>
              <w:right w:val="single" w:color="auto" w:sz="4" w:space="0"/>
            </w:tcBorders>
            <w:shd w:val="clear" w:color="auto" w:fill="auto"/>
            <w:vAlign w:val="center"/>
          </w:tcPr>
          <w:p w14:paraId="34FA47E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21.6469</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F482">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54E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FAA7D">
            <w:pPr>
              <w:jc w:val="both"/>
              <w:rPr>
                <w:rFonts w:hint="default" w:ascii="宋体" w:hAnsi="宋体" w:eastAsia="宋体" w:cs="宋体"/>
                <w:i w:val="0"/>
                <w:iCs w:val="0"/>
                <w:color w:val="auto"/>
                <w:sz w:val="22"/>
                <w:szCs w:val="22"/>
                <w:highlight w:val="none"/>
                <w:u w:val="none"/>
                <w:lang w:val="en-US" w:eastAsia="zh-CN"/>
              </w:rPr>
            </w:pPr>
          </w:p>
        </w:tc>
      </w:tr>
      <w:tr w14:paraId="47B76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67099">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8</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72495">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auto" w:sz="4" w:space="0"/>
              <w:left w:val="single" w:color="000000" w:sz="4" w:space="0"/>
              <w:bottom w:val="single" w:color="000000" w:sz="4" w:space="0"/>
              <w:right w:val="single" w:color="auto" w:sz="4" w:space="0"/>
            </w:tcBorders>
            <w:shd w:val="clear" w:color="auto" w:fill="auto"/>
            <w:vAlign w:val="center"/>
          </w:tcPr>
          <w:p w14:paraId="08774A8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山头村</w:t>
            </w:r>
          </w:p>
        </w:tc>
        <w:tc>
          <w:tcPr>
            <w:tcW w:w="1396"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0A8D6B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13.4474</w:t>
            </w:r>
          </w:p>
        </w:tc>
        <w:tc>
          <w:tcPr>
            <w:tcW w:w="1321" w:type="dxa"/>
            <w:tcBorders>
              <w:top w:val="single" w:color="auto" w:sz="4" w:space="0"/>
              <w:left w:val="single" w:color="000000" w:sz="4" w:space="0"/>
              <w:bottom w:val="single" w:color="auto" w:sz="4" w:space="0"/>
              <w:right w:val="single" w:color="auto" w:sz="4" w:space="0"/>
            </w:tcBorders>
            <w:shd w:val="clear" w:color="auto" w:fill="auto"/>
            <w:vAlign w:val="center"/>
          </w:tcPr>
          <w:p w14:paraId="07DE169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13.4474</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98ED2">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城郊融合类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745B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89A3F">
            <w:pPr>
              <w:jc w:val="both"/>
              <w:rPr>
                <w:rFonts w:hint="default" w:ascii="宋体" w:hAnsi="宋体" w:eastAsia="宋体" w:cs="宋体"/>
                <w:i w:val="0"/>
                <w:iCs w:val="0"/>
                <w:color w:val="auto"/>
                <w:sz w:val="22"/>
                <w:szCs w:val="22"/>
                <w:highlight w:val="none"/>
                <w:u w:val="none"/>
                <w:lang w:val="en-US" w:eastAsia="zh-CN"/>
              </w:rPr>
            </w:pPr>
          </w:p>
        </w:tc>
      </w:tr>
      <w:tr w14:paraId="2FD84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E5788">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9</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70503">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5AE9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文笔村</w:t>
            </w:r>
          </w:p>
        </w:tc>
        <w:tc>
          <w:tcPr>
            <w:tcW w:w="139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C6B29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10.3368</w:t>
            </w:r>
          </w:p>
        </w:tc>
        <w:tc>
          <w:tcPr>
            <w:tcW w:w="132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3DD09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10.3368</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8E597">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城郊融合类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6E4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C60F">
            <w:pPr>
              <w:jc w:val="both"/>
              <w:rPr>
                <w:rFonts w:hint="default" w:ascii="宋体" w:hAnsi="宋体" w:eastAsia="宋体" w:cs="宋体"/>
                <w:i w:val="0"/>
                <w:iCs w:val="0"/>
                <w:color w:val="auto"/>
                <w:sz w:val="22"/>
                <w:szCs w:val="22"/>
                <w:highlight w:val="none"/>
                <w:u w:val="none"/>
                <w:lang w:val="en-US" w:eastAsia="zh-CN"/>
              </w:rPr>
            </w:pPr>
          </w:p>
        </w:tc>
      </w:tr>
      <w:tr w14:paraId="32A64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854FD7">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10</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8DD13">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87C6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1"/>
                <w:szCs w:val="21"/>
                <w:highlight w:val="none"/>
                <w:u w:val="none"/>
                <w:lang w:val="en-US" w:eastAsia="zh-CN" w:bidi="ar"/>
              </w:rPr>
              <w:t>长龙村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C3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40.5152</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47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40.5152</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8E3E7">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暂不分类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C2E0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FA1E">
            <w:pPr>
              <w:jc w:val="both"/>
              <w:rPr>
                <w:rFonts w:hint="default" w:ascii="宋体" w:hAnsi="宋体" w:eastAsia="宋体" w:cs="宋体"/>
                <w:i w:val="0"/>
                <w:iCs w:val="0"/>
                <w:color w:val="auto"/>
                <w:sz w:val="22"/>
                <w:szCs w:val="22"/>
                <w:highlight w:val="none"/>
                <w:u w:val="none"/>
                <w:lang w:val="en-US" w:eastAsia="zh-CN"/>
              </w:rPr>
            </w:pPr>
          </w:p>
        </w:tc>
      </w:tr>
      <w:tr w14:paraId="3BEE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CB7ED">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11</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B5145">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A3BC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default" w:ascii="宋体" w:hAnsi="宋体" w:eastAsia="宋体" w:cs="宋体"/>
                <w:i w:val="0"/>
                <w:iCs w:val="0"/>
                <w:color w:val="auto"/>
                <w:kern w:val="0"/>
                <w:sz w:val="21"/>
                <w:szCs w:val="21"/>
                <w:highlight w:val="none"/>
                <w:u w:val="none"/>
                <w:lang w:val="en-US" w:eastAsia="zh-CN" w:bidi="ar"/>
              </w:rPr>
              <w:t>老房村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9F0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12.3167</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8B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12.3167</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EA5C8">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城郊融合类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D2F2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2A61">
            <w:pPr>
              <w:jc w:val="both"/>
              <w:rPr>
                <w:rFonts w:hint="default" w:ascii="宋体" w:hAnsi="宋体" w:eastAsia="宋体" w:cs="宋体"/>
                <w:i w:val="0"/>
                <w:iCs w:val="0"/>
                <w:color w:val="auto"/>
                <w:sz w:val="22"/>
                <w:szCs w:val="22"/>
                <w:highlight w:val="none"/>
                <w:u w:val="none"/>
                <w:lang w:val="en-US" w:eastAsia="zh-CN"/>
              </w:rPr>
            </w:pPr>
          </w:p>
        </w:tc>
      </w:tr>
      <w:tr w14:paraId="7557F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B4B56">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12</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C7737">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D4E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1"/>
                <w:szCs w:val="21"/>
                <w:highlight w:val="none"/>
                <w:u w:val="none"/>
                <w:lang w:val="en-US" w:eastAsia="zh-CN" w:bidi="ar"/>
              </w:rPr>
              <w:t>桐村村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82F6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23.1872</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7B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18.5466</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9C003">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城郊融合类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A6C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79F89">
            <w:pPr>
              <w:jc w:val="both"/>
              <w:rPr>
                <w:rFonts w:hint="default" w:ascii="宋体" w:hAnsi="宋体" w:eastAsia="宋体" w:cs="宋体"/>
                <w:i w:val="0"/>
                <w:iCs w:val="0"/>
                <w:color w:val="auto"/>
                <w:sz w:val="22"/>
                <w:szCs w:val="22"/>
                <w:highlight w:val="none"/>
                <w:u w:val="none"/>
                <w:lang w:val="en-US" w:eastAsia="zh-CN"/>
              </w:rPr>
            </w:pPr>
          </w:p>
        </w:tc>
      </w:tr>
      <w:tr w14:paraId="4D4B9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891FA">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13</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C9784">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BC68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default" w:ascii="宋体" w:hAnsi="宋体" w:eastAsia="宋体" w:cs="宋体"/>
                <w:i w:val="0"/>
                <w:iCs w:val="0"/>
                <w:color w:val="auto"/>
                <w:kern w:val="0"/>
                <w:sz w:val="21"/>
                <w:szCs w:val="21"/>
                <w:highlight w:val="none"/>
                <w:u w:val="none"/>
                <w:lang w:val="en-US" w:eastAsia="zh-CN" w:bidi="ar"/>
              </w:rPr>
              <w:t>四合村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EAE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39.0632</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38FB">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en-US" w:bidi="ar-SA"/>
              </w:rPr>
            </w:pPr>
            <w:r>
              <w:rPr>
                <w:rFonts w:hint="eastAsia" w:ascii="宋体" w:hAnsi="宋体" w:eastAsia="宋体" w:cs="宋体"/>
                <w:i w:val="0"/>
                <w:iCs w:val="0"/>
                <w:color w:val="auto"/>
                <w:kern w:val="0"/>
                <w:sz w:val="22"/>
                <w:szCs w:val="22"/>
                <w:highlight w:val="none"/>
                <w:u w:val="none"/>
                <w:lang w:val="en-US" w:eastAsia="zh-CN" w:bidi="ar"/>
              </w:rPr>
              <w:t>35.1864</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CA8A8">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F67B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C538">
            <w:pPr>
              <w:jc w:val="both"/>
              <w:rPr>
                <w:rFonts w:hint="default" w:ascii="宋体" w:hAnsi="宋体" w:eastAsia="宋体" w:cs="宋体"/>
                <w:i w:val="0"/>
                <w:iCs w:val="0"/>
                <w:color w:val="auto"/>
                <w:sz w:val="22"/>
                <w:szCs w:val="22"/>
                <w:highlight w:val="none"/>
                <w:u w:val="none"/>
                <w:lang w:val="en-US" w:eastAsia="zh-CN"/>
              </w:rPr>
            </w:pPr>
          </w:p>
        </w:tc>
      </w:tr>
      <w:tr w14:paraId="51A2C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29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F3F7F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en-US" w:bidi="ar"/>
              </w:rPr>
            </w:pPr>
            <w:r>
              <w:rPr>
                <w:rFonts w:hint="eastAsia" w:ascii="宋体" w:hAnsi="宋体" w:eastAsia="宋体" w:cs="宋体"/>
                <w:i w:val="0"/>
                <w:iCs w:val="0"/>
                <w:color w:val="auto"/>
                <w:kern w:val="0"/>
                <w:sz w:val="21"/>
                <w:szCs w:val="21"/>
                <w:highlight w:val="none"/>
                <w:u w:val="none"/>
                <w:lang w:val="en-US" w:eastAsia="zh-CN" w:bidi="ar"/>
              </w:rPr>
              <w:t>小计</w:t>
            </w:r>
          </w:p>
        </w:tc>
        <w:tc>
          <w:tcPr>
            <w:tcW w:w="1396"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1F3378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289.4619</w:t>
            </w:r>
          </w:p>
        </w:tc>
        <w:tc>
          <w:tcPr>
            <w:tcW w:w="132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57471EF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298.4564</w:t>
            </w:r>
          </w:p>
        </w:tc>
        <w:tc>
          <w:tcPr>
            <w:tcW w:w="806"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9B64A8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76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25A4963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65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B6CB7E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p>
        </w:tc>
      </w:tr>
      <w:tr w14:paraId="76D25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A8534">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sz w:val="22"/>
                <w:szCs w:val="22"/>
                <w:highlight w:val="none"/>
                <w:u w:val="none"/>
                <w:lang w:val="en-US" w:eastAsia="zh-CN" w:bidi="ar-SA"/>
              </w:rPr>
              <w:t>14</w:t>
            </w:r>
          </w:p>
        </w:tc>
        <w:tc>
          <w:tcPr>
            <w:tcW w:w="514" w:type="pct"/>
            <w:gridSpan w:val="2"/>
            <w:vMerge w:val="restart"/>
            <w:tcBorders>
              <w:top w:val="single" w:color="000000" w:sz="4" w:space="0"/>
              <w:left w:val="single" w:color="000000" w:sz="4" w:space="0"/>
              <w:right w:val="single" w:color="000000" w:sz="4" w:space="0"/>
            </w:tcBorders>
            <w:shd w:val="clear" w:color="auto" w:fill="auto"/>
            <w:vAlign w:val="center"/>
          </w:tcPr>
          <w:p w14:paraId="1179537D">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洛满镇12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6E3C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洛满村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71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24.6304</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B1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24.6304</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AB3F">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暂不分类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FCBF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46D3">
            <w:pPr>
              <w:jc w:val="both"/>
              <w:rPr>
                <w:rFonts w:hint="eastAsia" w:ascii="宋体" w:hAnsi="宋体" w:eastAsia="宋体" w:cs="宋体"/>
                <w:i w:val="0"/>
                <w:iCs w:val="0"/>
                <w:color w:val="auto"/>
                <w:sz w:val="22"/>
                <w:szCs w:val="22"/>
                <w:highlight w:val="none"/>
                <w:u w:val="none"/>
              </w:rPr>
            </w:pPr>
          </w:p>
        </w:tc>
      </w:tr>
      <w:tr w14:paraId="0EB74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9F67E">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15</w:t>
            </w:r>
          </w:p>
        </w:tc>
        <w:tc>
          <w:tcPr>
            <w:tcW w:w="514" w:type="pct"/>
            <w:gridSpan w:val="2"/>
            <w:vMerge w:val="continue"/>
            <w:tcBorders>
              <w:left w:val="single" w:color="000000" w:sz="4" w:space="0"/>
              <w:right w:val="single" w:color="000000" w:sz="4" w:space="0"/>
            </w:tcBorders>
            <w:shd w:val="clear" w:color="auto" w:fill="auto"/>
            <w:vAlign w:val="center"/>
          </w:tcPr>
          <w:p w14:paraId="5A6F7B11">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E09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古洲村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6E9C">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112.3602</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612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112.3602</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FE71">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8CF8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D0CA">
            <w:pPr>
              <w:jc w:val="both"/>
              <w:rPr>
                <w:rFonts w:hint="eastAsia" w:ascii="宋体" w:hAnsi="宋体" w:eastAsia="宋体" w:cs="宋体"/>
                <w:i w:val="0"/>
                <w:iCs w:val="0"/>
                <w:color w:val="auto"/>
                <w:sz w:val="22"/>
                <w:szCs w:val="22"/>
                <w:highlight w:val="none"/>
                <w:u w:val="none"/>
              </w:rPr>
            </w:pPr>
          </w:p>
        </w:tc>
      </w:tr>
      <w:tr w14:paraId="24477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0E35D">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kern w:val="0"/>
                <w:sz w:val="22"/>
                <w:szCs w:val="22"/>
                <w:highlight w:val="none"/>
                <w:u w:val="none"/>
                <w:lang w:val="en-US" w:eastAsia="zh-CN" w:bidi="ar"/>
              </w:rPr>
              <w:t>16</w:t>
            </w:r>
          </w:p>
        </w:tc>
        <w:tc>
          <w:tcPr>
            <w:tcW w:w="514" w:type="pct"/>
            <w:gridSpan w:val="2"/>
            <w:vMerge w:val="continue"/>
            <w:tcBorders>
              <w:left w:val="single" w:color="000000" w:sz="4" w:space="0"/>
              <w:right w:val="single" w:color="000000" w:sz="4" w:space="0"/>
            </w:tcBorders>
            <w:shd w:val="clear" w:color="auto" w:fill="auto"/>
            <w:vAlign w:val="center"/>
          </w:tcPr>
          <w:p w14:paraId="17A7D8DB">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FB4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洛河村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CE9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132.4353</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3F2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108.3</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80939">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37B3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3F99E">
            <w:pPr>
              <w:jc w:val="both"/>
              <w:rPr>
                <w:rFonts w:hint="default" w:ascii="宋体" w:hAnsi="宋体" w:eastAsia="宋体" w:cs="宋体"/>
                <w:i w:val="0"/>
                <w:iCs w:val="0"/>
                <w:color w:val="auto"/>
                <w:sz w:val="22"/>
                <w:szCs w:val="22"/>
                <w:highlight w:val="none"/>
                <w:u w:val="none"/>
                <w:lang w:val="en-US" w:eastAsia="zh-CN"/>
              </w:rPr>
            </w:pPr>
          </w:p>
        </w:tc>
      </w:tr>
      <w:tr w14:paraId="252F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47A19">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17</w:t>
            </w:r>
          </w:p>
        </w:tc>
        <w:tc>
          <w:tcPr>
            <w:tcW w:w="514" w:type="pct"/>
            <w:gridSpan w:val="2"/>
            <w:vMerge w:val="continue"/>
            <w:tcBorders>
              <w:left w:val="single" w:color="000000" w:sz="4" w:space="0"/>
              <w:right w:val="single" w:color="000000" w:sz="4" w:space="0"/>
            </w:tcBorders>
            <w:shd w:val="clear" w:color="auto" w:fill="auto"/>
            <w:vAlign w:val="center"/>
          </w:tcPr>
          <w:p w14:paraId="5119C46B">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E9B4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顶建村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4140">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89.0594</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19AB">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71.18</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2855">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534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B32F">
            <w:pPr>
              <w:jc w:val="both"/>
              <w:rPr>
                <w:rFonts w:hint="eastAsia" w:ascii="宋体" w:hAnsi="宋体" w:eastAsia="宋体" w:cs="宋体"/>
                <w:i w:val="0"/>
                <w:iCs w:val="0"/>
                <w:color w:val="auto"/>
                <w:sz w:val="22"/>
                <w:szCs w:val="22"/>
                <w:highlight w:val="none"/>
                <w:u w:val="none"/>
              </w:rPr>
            </w:pPr>
          </w:p>
        </w:tc>
      </w:tr>
      <w:tr w14:paraId="7A4D8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B5373">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18</w:t>
            </w:r>
          </w:p>
        </w:tc>
        <w:tc>
          <w:tcPr>
            <w:tcW w:w="514" w:type="pct"/>
            <w:gridSpan w:val="2"/>
            <w:vMerge w:val="continue"/>
            <w:tcBorders>
              <w:left w:val="single" w:color="000000" w:sz="4" w:space="0"/>
              <w:right w:val="single" w:color="000000" w:sz="4" w:space="0"/>
            </w:tcBorders>
            <w:shd w:val="clear" w:color="auto" w:fill="auto"/>
            <w:vAlign w:val="center"/>
          </w:tcPr>
          <w:p w14:paraId="0DF75E40">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A74C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露南村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2BEC">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66.7223</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239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71.3667</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6C577">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F248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33AD">
            <w:pPr>
              <w:jc w:val="both"/>
              <w:rPr>
                <w:rFonts w:hint="eastAsia" w:ascii="宋体" w:hAnsi="宋体" w:eastAsia="宋体" w:cs="宋体"/>
                <w:i w:val="0"/>
                <w:iCs w:val="0"/>
                <w:color w:val="auto"/>
                <w:sz w:val="22"/>
                <w:szCs w:val="22"/>
                <w:highlight w:val="none"/>
                <w:u w:val="none"/>
              </w:rPr>
            </w:pPr>
          </w:p>
        </w:tc>
      </w:tr>
      <w:tr w14:paraId="098C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D5F46">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19</w:t>
            </w:r>
          </w:p>
        </w:tc>
        <w:tc>
          <w:tcPr>
            <w:tcW w:w="514" w:type="pct"/>
            <w:gridSpan w:val="2"/>
            <w:vMerge w:val="continue"/>
            <w:tcBorders>
              <w:left w:val="single" w:color="000000" w:sz="4" w:space="0"/>
              <w:right w:val="single" w:color="000000" w:sz="4" w:space="0"/>
            </w:tcBorders>
            <w:shd w:val="clear" w:color="auto" w:fill="auto"/>
            <w:vAlign w:val="center"/>
          </w:tcPr>
          <w:p w14:paraId="3EC38FD7">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F88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default" w:ascii="宋体" w:hAnsi="宋体" w:eastAsia="宋体" w:cs="宋体"/>
                <w:i w:val="0"/>
                <w:iCs w:val="0"/>
                <w:color w:val="auto"/>
                <w:kern w:val="0"/>
                <w:sz w:val="21"/>
                <w:szCs w:val="21"/>
                <w:highlight w:val="none"/>
                <w:u w:val="none"/>
                <w:lang w:val="en-US" w:eastAsia="zh-CN" w:bidi="ar"/>
              </w:rPr>
              <w:t>福塘村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DA6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75.6627</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C3D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57.58</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1085B">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E191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48463">
            <w:pPr>
              <w:jc w:val="both"/>
              <w:rPr>
                <w:rFonts w:hint="default" w:ascii="宋体" w:hAnsi="宋体" w:eastAsia="宋体" w:cs="宋体"/>
                <w:i w:val="0"/>
                <w:iCs w:val="0"/>
                <w:color w:val="auto"/>
                <w:sz w:val="22"/>
                <w:szCs w:val="22"/>
                <w:highlight w:val="none"/>
                <w:u w:val="none"/>
                <w:lang w:val="en-US" w:eastAsia="zh-CN"/>
              </w:rPr>
            </w:pPr>
          </w:p>
        </w:tc>
      </w:tr>
      <w:tr w14:paraId="309F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77E43">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sz w:val="22"/>
                <w:szCs w:val="22"/>
                <w:highlight w:val="none"/>
                <w:u w:val="none"/>
                <w:lang w:val="en-US" w:eastAsia="zh-CN"/>
              </w:rPr>
              <w:t>20</w:t>
            </w:r>
          </w:p>
        </w:tc>
        <w:tc>
          <w:tcPr>
            <w:tcW w:w="514" w:type="pct"/>
            <w:gridSpan w:val="2"/>
            <w:vMerge w:val="continue"/>
            <w:tcBorders>
              <w:left w:val="single" w:color="000000" w:sz="4" w:space="0"/>
              <w:right w:val="single" w:color="000000" w:sz="4" w:space="0"/>
            </w:tcBorders>
            <w:shd w:val="clear" w:color="auto" w:fill="auto"/>
            <w:vAlign w:val="center"/>
          </w:tcPr>
          <w:p w14:paraId="72A3C461">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ABE6">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龙范村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A38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11.7089</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4F0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9.1387</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5210">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暂不分类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944B">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0AE9">
            <w:pPr>
              <w:jc w:val="both"/>
              <w:rPr>
                <w:rFonts w:hint="default" w:ascii="宋体" w:hAnsi="宋体" w:eastAsia="宋体" w:cs="宋体"/>
                <w:i w:val="0"/>
                <w:iCs w:val="0"/>
                <w:color w:val="auto"/>
                <w:sz w:val="22"/>
                <w:szCs w:val="22"/>
                <w:highlight w:val="none"/>
                <w:u w:val="none"/>
                <w:lang w:val="en-US" w:eastAsia="zh-CN"/>
              </w:rPr>
            </w:pPr>
          </w:p>
        </w:tc>
      </w:tr>
      <w:tr w14:paraId="54FBE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D56DD">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21</w:t>
            </w:r>
          </w:p>
        </w:tc>
        <w:tc>
          <w:tcPr>
            <w:tcW w:w="514" w:type="pct"/>
            <w:gridSpan w:val="2"/>
            <w:vMerge w:val="continue"/>
            <w:tcBorders>
              <w:left w:val="single" w:color="000000" w:sz="4" w:space="0"/>
              <w:right w:val="single" w:color="000000" w:sz="4" w:space="0"/>
            </w:tcBorders>
            <w:shd w:val="clear" w:color="auto" w:fill="auto"/>
            <w:vAlign w:val="center"/>
          </w:tcPr>
          <w:p w14:paraId="70931A41">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5854">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高兴村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429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21.7655</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E31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18.41</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218F8">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6FCA">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9503F">
            <w:pPr>
              <w:jc w:val="both"/>
              <w:rPr>
                <w:rFonts w:hint="eastAsia" w:ascii="宋体" w:hAnsi="宋体" w:eastAsia="宋体" w:cs="宋体"/>
                <w:i w:val="0"/>
                <w:iCs w:val="0"/>
                <w:color w:val="auto"/>
                <w:sz w:val="22"/>
                <w:szCs w:val="22"/>
                <w:highlight w:val="none"/>
                <w:u w:val="none"/>
              </w:rPr>
            </w:pPr>
          </w:p>
        </w:tc>
      </w:tr>
      <w:tr w14:paraId="27C08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FF2CD">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22</w:t>
            </w:r>
          </w:p>
        </w:tc>
        <w:tc>
          <w:tcPr>
            <w:tcW w:w="514" w:type="pct"/>
            <w:gridSpan w:val="2"/>
            <w:vMerge w:val="continue"/>
            <w:tcBorders>
              <w:left w:val="single" w:color="000000" w:sz="4" w:space="0"/>
              <w:right w:val="single" w:color="000000" w:sz="4" w:space="0"/>
            </w:tcBorders>
            <w:shd w:val="clear" w:color="auto" w:fill="auto"/>
            <w:vAlign w:val="center"/>
          </w:tcPr>
          <w:p w14:paraId="280CBD85">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4C2ED">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北林村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B6B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34.8042</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DE4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33.76</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CE31B">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F3E8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E3014">
            <w:pPr>
              <w:jc w:val="both"/>
              <w:rPr>
                <w:rFonts w:hint="eastAsia" w:ascii="宋体" w:hAnsi="宋体" w:eastAsia="宋体" w:cs="宋体"/>
                <w:i w:val="0"/>
                <w:iCs w:val="0"/>
                <w:color w:val="auto"/>
                <w:sz w:val="22"/>
                <w:szCs w:val="22"/>
                <w:highlight w:val="none"/>
                <w:u w:val="none"/>
              </w:rPr>
            </w:pPr>
          </w:p>
        </w:tc>
      </w:tr>
      <w:tr w14:paraId="2AC2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53C18">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23</w:t>
            </w:r>
          </w:p>
        </w:tc>
        <w:tc>
          <w:tcPr>
            <w:tcW w:w="514" w:type="pct"/>
            <w:gridSpan w:val="2"/>
            <w:vMerge w:val="continue"/>
            <w:tcBorders>
              <w:left w:val="single" w:color="000000" w:sz="4" w:space="0"/>
              <w:right w:val="single" w:color="000000" w:sz="4" w:space="0"/>
            </w:tcBorders>
            <w:shd w:val="clear" w:color="auto" w:fill="auto"/>
            <w:vAlign w:val="center"/>
          </w:tcPr>
          <w:p w14:paraId="75B5F534">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EB4D">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桥木村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237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16.8097</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A03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16.14</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61DC">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A3C9C">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9BAE6">
            <w:pPr>
              <w:jc w:val="both"/>
              <w:rPr>
                <w:rFonts w:hint="eastAsia" w:ascii="宋体" w:hAnsi="宋体" w:eastAsia="宋体" w:cs="宋体"/>
                <w:i w:val="0"/>
                <w:iCs w:val="0"/>
                <w:color w:val="auto"/>
                <w:sz w:val="22"/>
                <w:szCs w:val="22"/>
                <w:highlight w:val="none"/>
                <w:u w:val="none"/>
              </w:rPr>
            </w:pPr>
          </w:p>
        </w:tc>
      </w:tr>
      <w:tr w14:paraId="401DC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42568">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24</w:t>
            </w:r>
          </w:p>
        </w:tc>
        <w:tc>
          <w:tcPr>
            <w:tcW w:w="514" w:type="pct"/>
            <w:gridSpan w:val="2"/>
            <w:vMerge w:val="continue"/>
            <w:tcBorders>
              <w:left w:val="single" w:color="000000" w:sz="4" w:space="0"/>
              <w:right w:val="single" w:color="000000" w:sz="4" w:space="0"/>
            </w:tcBorders>
            <w:shd w:val="clear" w:color="auto" w:fill="auto"/>
            <w:vAlign w:val="center"/>
          </w:tcPr>
          <w:p w14:paraId="02BA18DD">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26A7F">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凤山村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7F5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28.1676</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0BB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25.63</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B980">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2F9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FA003">
            <w:pPr>
              <w:jc w:val="both"/>
              <w:rPr>
                <w:rFonts w:hint="default" w:ascii="宋体" w:hAnsi="宋体" w:eastAsia="宋体" w:cs="宋体"/>
                <w:i w:val="0"/>
                <w:iCs w:val="0"/>
                <w:color w:val="auto"/>
                <w:sz w:val="22"/>
                <w:szCs w:val="22"/>
                <w:highlight w:val="none"/>
                <w:u w:val="none"/>
                <w:lang w:val="en-US" w:eastAsia="zh-CN"/>
              </w:rPr>
            </w:pPr>
          </w:p>
        </w:tc>
      </w:tr>
      <w:tr w14:paraId="2D486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3F191">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25</w:t>
            </w:r>
          </w:p>
        </w:tc>
        <w:tc>
          <w:tcPr>
            <w:tcW w:w="514" w:type="pct"/>
            <w:gridSpan w:val="2"/>
            <w:vMerge w:val="continue"/>
            <w:tcBorders>
              <w:left w:val="single" w:color="000000" w:sz="4" w:space="0"/>
              <w:bottom w:val="single" w:color="000000" w:sz="4" w:space="0"/>
              <w:right w:val="single" w:color="000000" w:sz="4" w:space="0"/>
            </w:tcBorders>
            <w:shd w:val="clear" w:color="auto" w:fill="auto"/>
            <w:vAlign w:val="center"/>
          </w:tcPr>
          <w:p w14:paraId="72892DCB">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BC9A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凤阳村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998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18.9698</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4F5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18.1769</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A9F46">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暂不分类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253A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lang w:val="en-US" w:eastAsia="zh-CN" w:bidi="ar-SA"/>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ADB4">
            <w:pPr>
              <w:jc w:val="both"/>
              <w:rPr>
                <w:rFonts w:hint="eastAsia" w:ascii="宋体" w:hAnsi="宋体" w:eastAsia="宋体" w:cs="宋体"/>
                <w:i w:val="0"/>
                <w:iCs w:val="0"/>
                <w:color w:val="auto"/>
                <w:sz w:val="22"/>
                <w:szCs w:val="22"/>
                <w:highlight w:val="none"/>
                <w:u w:val="none"/>
              </w:rPr>
            </w:pPr>
          </w:p>
        </w:tc>
      </w:tr>
      <w:tr w14:paraId="4AA12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298" w:type="pct"/>
            <w:gridSpan w:val="5"/>
            <w:tcBorders>
              <w:top w:val="single" w:color="000000" w:sz="4" w:space="0"/>
              <w:left w:val="single" w:color="000000" w:sz="4" w:space="0"/>
              <w:bottom w:val="single" w:color="000000" w:sz="4" w:space="0"/>
              <w:right w:val="single" w:color="000000" w:sz="4" w:space="0"/>
            </w:tcBorders>
            <w:shd w:val="clear" w:color="auto" w:fill="D9D9D9"/>
            <w:vAlign w:val="center"/>
          </w:tcPr>
          <w:p w14:paraId="40833D1D">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小计</w:t>
            </w:r>
          </w:p>
        </w:tc>
        <w:tc>
          <w:tcPr>
            <w:tcW w:w="1396"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345F773">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633.096</w:t>
            </w:r>
          </w:p>
        </w:tc>
        <w:tc>
          <w:tcPr>
            <w:tcW w:w="132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930A8D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566.6729</w:t>
            </w:r>
          </w:p>
        </w:tc>
        <w:tc>
          <w:tcPr>
            <w:tcW w:w="806"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FA9E742">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76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9AACCE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65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71E0ED2">
            <w:pPr>
              <w:keepNext w:val="0"/>
              <w:keepLines w:val="0"/>
              <w:widowControl/>
              <w:suppressLineNumbers w:val="0"/>
              <w:jc w:val="both"/>
              <w:textAlignment w:val="center"/>
              <w:rPr>
                <w:rFonts w:hint="default" w:ascii="宋体" w:hAnsi="宋体" w:eastAsia="宋体" w:cs="宋体"/>
                <w:i w:val="0"/>
                <w:iCs w:val="0"/>
                <w:color w:val="auto"/>
                <w:sz w:val="22"/>
                <w:szCs w:val="22"/>
                <w:highlight w:val="none"/>
                <w:u w:val="none"/>
                <w:lang w:val="en-US" w:eastAsia="zh-CN"/>
              </w:rPr>
            </w:pPr>
          </w:p>
        </w:tc>
      </w:tr>
      <w:tr w14:paraId="3F459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70A04">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eastAsia="仿宋_GB2312" w:cs="仿宋_GB2312"/>
                <w:i w:val="0"/>
                <w:iCs w:val="0"/>
                <w:color w:val="auto"/>
                <w:sz w:val="22"/>
                <w:szCs w:val="22"/>
                <w:highlight w:val="none"/>
                <w:u w:val="none"/>
                <w:lang w:val="en-US" w:eastAsia="zh-CN"/>
              </w:rPr>
              <w:t>26</w:t>
            </w:r>
          </w:p>
        </w:tc>
        <w:tc>
          <w:tcPr>
            <w:tcW w:w="5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3A326">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流山镇</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35D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流山村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10A5">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113.6395</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384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113.6395</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47334">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AAF3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84FE">
            <w:pPr>
              <w:jc w:val="both"/>
              <w:rPr>
                <w:rFonts w:hint="eastAsia" w:ascii="宋体" w:hAnsi="宋体" w:eastAsia="宋体" w:cs="宋体"/>
                <w:i w:val="0"/>
                <w:iCs w:val="0"/>
                <w:color w:val="auto"/>
                <w:sz w:val="22"/>
                <w:szCs w:val="22"/>
                <w:highlight w:val="none"/>
                <w:u w:val="none"/>
              </w:rPr>
            </w:pPr>
          </w:p>
        </w:tc>
      </w:tr>
      <w:tr w14:paraId="495CE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A4F73">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27</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3EC92">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6F7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流塘村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E19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35.1986</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ACB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34.0767</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93DB1">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171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F1159">
            <w:pPr>
              <w:jc w:val="both"/>
              <w:rPr>
                <w:rFonts w:hint="default" w:ascii="宋体" w:hAnsi="宋体" w:eastAsia="宋体" w:cs="宋体"/>
                <w:i w:val="0"/>
                <w:iCs w:val="0"/>
                <w:color w:val="auto"/>
                <w:sz w:val="22"/>
                <w:szCs w:val="22"/>
                <w:highlight w:val="none"/>
                <w:u w:val="none"/>
                <w:lang w:val="en-US" w:eastAsia="zh-CN"/>
              </w:rPr>
            </w:pPr>
          </w:p>
        </w:tc>
      </w:tr>
      <w:tr w14:paraId="3529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37D4C">
            <w:pPr>
              <w:keepNext w:val="0"/>
              <w:keepLines w:val="0"/>
              <w:widowControl/>
              <w:suppressLineNumbers w:val="0"/>
              <w:jc w:val="both"/>
              <w:textAlignment w:val="center"/>
              <w:rPr>
                <w:rFonts w:hint="default"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28</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E2193">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0CB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大石村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0FDC">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23.6907</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20C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23.6907</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E3F72">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C913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4B646">
            <w:pPr>
              <w:jc w:val="both"/>
              <w:rPr>
                <w:rFonts w:hint="eastAsia" w:ascii="宋体" w:hAnsi="宋体" w:eastAsia="宋体" w:cs="宋体"/>
                <w:i w:val="0"/>
                <w:iCs w:val="0"/>
                <w:color w:val="auto"/>
                <w:sz w:val="22"/>
                <w:szCs w:val="22"/>
                <w:highlight w:val="none"/>
                <w:u w:val="none"/>
              </w:rPr>
            </w:pPr>
          </w:p>
        </w:tc>
      </w:tr>
      <w:tr w14:paraId="6EACA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82145">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29</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0B05">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D5D5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广荣村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B9E3">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84.3775</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D7FD">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84.3775</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5094">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2FCA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7191C">
            <w:pPr>
              <w:jc w:val="both"/>
              <w:rPr>
                <w:rFonts w:hint="default" w:ascii="宋体" w:hAnsi="宋体" w:eastAsia="宋体" w:cs="宋体"/>
                <w:i w:val="0"/>
                <w:iCs w:val="0"/>
                <w:color w:val="auto"/>
                <w:sz w:val="22"/>
                <w:szCs w:val="22"/>
                <w:highlight w:val="none"/>
                <w:u w:val="none"/>
                <w:lang w:val="en-US" w:eastAsia="zh-CN"/>
              </w:rPr>
            </w:pPr>
          </w:p>
        </w:tc>
      </w:tr>
      <w:tr w14:paraId="5EB7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F52FD">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30</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0E1D4">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B6D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正兰村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CA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19.3485</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EA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19.3485</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97C7A">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0476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8BFD">
            <w:pPr>
              <w:jc w:val="both"/>
              <w:rPr>
                <w:rFonts w:hint="eastAsia" w:ascii="宋体" w:hAnsi="宋体" w:eastAsia="宋体" w:cs="宋体"/>
                <w:i w:val="0"/>
                <w:iCs w:val="0"/>
                <w:color w:val="auto"/>
                <w:sz w:val="22"/>
                <w:szCs w:val="22"/>
                <w:highlight w:val="none"/>
                <w:u w:val="none"/>
              </w:rPr>
            </w:pPr>
          </w:p>
        </w:tc>
      </w:tr>
      <w:tr w14:paraId="3617F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D1378">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31</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C5D0F">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8F52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新隆村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8320">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31.7026</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095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29.26</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B34E">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集聚提升类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5BA4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是</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D8335">
            <w:pPr>
              <w:jc w:val="both"/>
              <w:rPr>
                <w:rFonts w:hint="default" w:ascii="宋体" w:hAnsi="宋体" w:eastAsia="宋体" w:cs="宋体"/>
                <w:i w:val="0"/>
                <w:iCs w:val="0"/>
                <w:color w:val="auto"/>
                <w:sz w:val="22"/>
                <w:szCs w:val="22"/>
                <w:highlight w:val="none"/>
                <w:u w:val="none"/>
                <w:lang w:val="en-US" w:eastAsia="zh-CN"/>
              </w:rPr>
            </w:pPr>
          </w:p>
        </w:tc>
      </w:tr>
      <w:tr w14:paraId="17B60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30BB9">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lang w:val="en-US" w:eastAsia="en-US" w:bidi="ar-SA"/>
              </w:rPr>
            </w:pPr>
            <w:r>
              <w:rPr>
                <w:rFonts w:hint="eastAsia" w:ascii="仿宋_GB2312" w:hAnsi="宋体" w:eastAsia="仿宋_GB2312" w:cs="仿宋_GB2312"/>
                <w:i w:val="0"/>
                <w:iCs w:val="0"/>
                <w:color w:val="auto"/>
                <w:kern w:val="0"/>
                <w:sz w:val="22"/>
                <w:szCs w:val="22"/>
                <w:highlight w:val="none"/>
                <w:u w:val="none"/>
                <w:lang w:val="en-US" w:eastAsia="zh-CN" w:bidi="ar"/>
              </w:rPr>
              <w:t>32</w:t>
            </w:r>
          </w:p>
        </w:tc>
        <w:tc>
          <w:tcPr>
            <w:tcW w:w="5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82C3E">
            <w:pPr>
              <w:jc w:val="both"/>
              <w:rPr>
                <w:rFonts w:hint="eastAsia" w:ascii="仿宋_GB2312" w:hAnsi="宋体" w:eastAsia="仿宋_GB2312" w:cs="仿宋_GB2312"/>
                <w:i w:val="0"/>
                <w:iCs w:val="0"/>
                <w:color w:val="auto"/>
                <w:sz w:val="22"/>
                <w:szCs w:val="22"/>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4A9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宋体" w:hAnsi="宋体" w:eastAsia="宋体" w:cs="宋体"/>
                <w:i w:val="0"/>
                <w:iCs w:val="0"/>
                <w:color w:val="auto"/>
                <w:kern w:val="0"/>
                <w:sz w:val="21"/>
                <w:szCs w:val="21"/>
                <w:highlight w:val="none"/>
                <w:u w:val="none"/>
                <w:lang w:val="en-US" w:eastAsia="zh-CN" w:bidi="ar"/>
              </w:rPr>
              <w:t>新艾村</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B2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16.5703</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4A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16.5703</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F1B7A">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暂不分类</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D988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否</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7662">
            <w:pPr>
              <w:jc w:val="both"/>
              <w:rPr>
                <w:rFonts w:hint="eastAsia" w:ascii="宋体" w:hAnsi="宋体" w:eastAsia="宋体" w:cs="宋体"/>
                <w:i w:val="0"/>
                <w:iCs w:val="0"/>
                <w:color w:val="auto"/>
                <w:sz w:val="22"/>
                <w:szCs w:val="22"/>
                <w:highlight w:val="none"/>
                <w:u w:val="none"/>
              </w:rPr>
            </w:pPr>
          </w:p>
        </w:tc>
      </w:tr>
      <w:tr w14:paraId="29232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298" w:type="pct"/>
            <w:gridSpan w:val="5"/>
            <w:tcBorders>
              <w:top w:val="single" w:color="000000" w:sz="4" w:space="0"/>
              <w:left w:val="single" w:color="000000" w:sz="4" w:space="0"/>
              <w:bottom w:val="single" w:color="000000" w:sz="4" w:space="0"/>
              <w:right w:val="single" w:color="000000" w:sz="4" w:space="0"/>
            </w:tcBorders>
            <w:shd w:val="clear" w:color="auto" w:fill="D9D9D9"/>
            <w:vAlign w:val="center"/>
          </w:tcPr>
          <w:p w14:paraId="0A87BF69">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小计</w:t>
            </w:r>
          </w:p>
        </w:tc>
        <w:tc>
          <w:tcPr>
            <w:tcW w:w="1396"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37AE38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324.5277</w:t>
            </w:r>
          </w:p>
        </w:tc>
        <w:tc>
          <w:tcPr>
            <w:tcW w:w="132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157471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320.9632</w:t>
            </w:r>
          </w:p>
        </w:tc>
        <w:tc>
          <w:tcPr>
            <w:tcW w:w="806"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4B8AF86">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76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4379264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65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9BE343A">
            <w:pPr>
              <w:jc w:val="both"/>
              <w:rPr>
                <w:rFonts w:hint="eastAsia" w:ascii="宋体" w:hAnsi="宋体" w:eastAsia="宋体" w:cs="宋体"/>
                <w:i w:val="0"/>
                <w:iCs w:val="0"/>
                <w:color w:val="auto"/>
                <w:sz w:val="22"/>
                <w:szCs w:val="22"/>
                <w:highlight w:val="none"/>
                <w:u w:val="none"/>
              </w:rPr>
            </w:pPr>
          </w:p>
        </w:tc>
      </w:tr>
      <w:tr w14:paraId="14667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298" w:type="pct"/>
            <w:gridSpan w:val="5"/>
            <w:tcBorders>
              <w:top w:val="single" w:color="000000" w:sz="4" w:space="0"/>
              <w:left w:val="single" w:color="000000" w:sz="4" w:space="0"/>
              <w:bottom w:val="single" w:color="000000" w:sz="4" w:space="0"/>
              <w:right w:val="single" w:color="000000" w:sz="4" w:space="0"/>
            </w:tcBorders>
            <w:shd w:val="clear" w:color="auto" w:fill="D9D9D9"/>
            <w:vAlign w:val="center"/>
          </w:tcPr>
          <w:p w14:paraId="6527FF6C">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柳南区合计</w:t>
            </w:r>
          </w:p>
        </w:tc>
        <w:tc>
          <w:tcPr>
            <w:tcW w:w="1396"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5D9E056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1299.789</w:t>
            </w:r>
          </w:p>
        </w:tc>
        <w:tc>
          <w:tcPr>
            <w:tcW w:w="132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DAB45F1">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1238.796</w:t>
            </w:r>
          </w:p>
        </w:tc>
        <w:tc>
          <w:tcPr>
            <w:tcW w:w="806"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555EB880">
            <w:pPr>
              <w:keepNext w:val="0"/>
              <w:keepLines w:val="0"/>
              <w:widowControl/>
              <w:suppressLineNumbers w:val="0"/>
              <w:jc w:val="both"/>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76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0171AD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65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2CBD056C">
            <w:pPr>
              <w:jc w:val="both"/>
              <w:rPr>
                <w:rFonts w:hint="eastAsia" w:ascii="宋体" w:hAnsi="宋体" w:eastAsia="宋体" w:cs="宋体"/>
                <w:i w:val="0"/>
                <w:iCs w:val="0"/>
                <w:color w:val="auto"/>
                <w:sz w:val="22"/>
                <w:szCs w:val="22"/>
                <w:highlight w:val="none"/>
                <w:u w:val="none"/>
              </w:rPr>
            </w:pPr>
          </w:p>
        </w:tc>
      </w:tr>
    </w:tbl>
    <w:p w14:paraId="23BFE5D8">
      <w:pPr>
        <w:rPr>
          <w:rFonts w:hint="eastAsia"/>
          <w:color w:val="auto"/>
          <w:sz w:val="21"/>
          <w:highlight w:val="none"/>
          <w:lang w:eastAsia="zh-CN"/>
        </w:rPr>
      </w:pPr>
    </w:p>
    <w:p w14:paraId="10B463FD">
      <w:pPr>
        <w:spacing w:before="56"/>
        <w:ind w:left="100"/>
        <w:rPr>
          <w:rFonts w:hint="eastAsia"/>
          <w:color w:val="auto"/>
          <w:sz w:val="21"/>
          <w:highlight w:val="none"/>
          <w:lang w:eastAsia="zh-CN"/>
        </w:rPr>
      </w:pPr>
      <w:r>
        <w:rPr>
          <w:color w:val="auto"/>
          <w:sz w:val="21"/>
          <w:highlight w:val="none"/>
          <w:lang w:eastAsia="zh-CN"/>
        </w:rPr>
        <w:t>注：</w:t>
      </w:r>
      <w:r>
        <w:rPr>
          <w:rFonts w:ascii="Times New Roman" w:eastAsia="Times New Roman"/>
          <w:color w:val="auto"/>
          <w:sz w:val="21"/>
          <w:highlight w:val="none"/>
          <w:lang w:eastAsia="zh-CN"/>
        </w:rPr>
        <w:t>1</w:t>
      </w:r>
      <w:r>
        <w:rPr>
          <w:color w:val="auto"/>
          <w:sz w:val="21"/>
          <w:highlight w:val="none"/>
          <w:lang w:eastAsia="zh-CN"/>
        </w:rPr>
        <w:t xml:space="preserve">、表中村庄建设用地总面积包含城镇开发边界内村庄建设用地 </w:t>
      </w:r>
      <w:r>
        <w:rPr>
          <w:rFonts w:ascii="Times New Roman" w:eastAsia="Times New Roman"/>
          <w:color w:val="auto"/>
          <w:sz w:val="21"/>
          <w:highlight w:val="none"/>
          <w:lang w:eastAsia="zh-CN"/>
        </w:rPr>
        <w:t xml:space="preserve">203 </w:t>
      </w:r>
      <w:r>
        <w:rPr>
          <w:color w:val="auto"/>
          <w:sz w:val="21"/>
          <w:highlight w:val="none"/>
          <w:lang w:eastAsia="zh-CN"/>
        </w:rPr>
        <w:t>图斑。</w:t>
      </w:r>
    </w:p>
    <w:p w14:paraId="4F459B89">
      <w:pPr>
        <w:spacing w:before="110"/>
        <w:ind w:left="520"/>
        <w:rPr>
          <w:rFonts w:hint="eastAsia"/>
          <w:color w:val="auto"/>
          <w:sz w:val="21"/>
          <w:highlight w:val="none"/>
          <w:lang w:eastAsia="zh-CN"/>
        </w:rPr>
      </w:pPr>
      <w:r>
        <w:rPr>
          <w:rFonts w:hint="eastAsia" w:ascii="Times New Roman" w:eastAsia="Times New Roman"/>
          <w:color w:val="auto"/>
          <w:sz w:val="21"/>
          <w:highlight w:val="none"/>
          <w:lang w:eastAsia="zh-CN"/>
        </w:rPr>
        <w:t>2.</w:t>
      </w:r>
      <w:r>
        <w:rPr>
          <w:color w:val="auto"/>
          <w:sz w:val="21"/>
          <w:highlight w:val="none"/>
          <w:lang w:eastAsia="zh-CN"/>
        </w:rPr>
        <w:t xml:space="preserve">表中规划基期年村庄建设用地采用 </w:t>
      </w:r>
      <w:r>
        <w:rPr>
          <w:rFonts w:ascii="Times New Roman" w:eastAsia="Times New Roman"/>
          <w:color w:val="auto"/>
          <w:sz w:val="21"/>
          <w:highlight w:val="none"/>
          <w:lang w:eastAsia="zh-CN"/>
        </w:rPr>
        <w:t xml:space="preserve">2020 </w:t>
      </w:r>
      <w:r>
        <w:rPr>
          <w:color w:val="auto"/>
          <w:sz w:val="21"/>
          <w:highlight w:val="none"/>
          <w:lang w:eastAsia="zh-CN"/>
        </w:rPr>
        <w:t xml:space="preserve">年度国土变更调查村庄建设用地 </w:t>
      </w:r>
      <w:r>
        <w:rPr>
          <w:rFonts w:ascii="Times New Roman" w:eastAsia="Times New Roman"/>
          <w:color w:val="auto"/>
          <w:sz w:val="21"/>
          <w:highlight w:val="none"/>
          <w:lang w:eastAsia="zh-CN"/>
        </w:rPr>
        <w:t xml:space="preserve">203 </w:t>
      </w:r>
      <w:r>
        <w:rPr>
          <w:color w:val="auto"/>
          <w:sz w:val="21"/>
          <w:highlight w:val="none"/>
          <w:lang w:eastAsia="zh-CN"/>
        </w:rPr>
        <w:t>图斑统计。</w:t>
      </w:r>
    </w:p>
    <w:p w14:paraId="521EA0C5">
      <w:pPr>
        <w:spacing w:before="113"/>
        <w:ind w:left="520"/>
        <w:rPr>
          <w:rFonts w:hint="eastAsia"/>
          <w:color w:val="auto"/>
          <w:sz w:val="21"/>
          <w:highlight w:val="none"/>
          <w:lang w:eastAsia="zh-CN"/>
        </w:rPr>
      </w:pPr>
      <w:r>
        <w:rPr>
          <w:rFonts w:hint="eastAsia" w:ascii="Times New Roman" w:hAnsi="Times New Roman" w:eastAsia="Times New Roman"/>
          <w:color w:val="auto"/>
          <w:sz w:val="21"/>
          <w:highlight w:val="none"/>
          <w:lang w:eastAsia="zh-CN"/>
        </w:rPr>
        <w:t>3.</w:t>
      </w:r>
      <w:r>
        <w:rPr>
          <w:color w:val="auto"/>
          <w:sz w:val="21"/>
          <w:highlight w:val="none"/>
          <w:lang w:eastAsia="zh-CN"/>
        </w:rPr>
        <w:t>表中村庄分类中“其他”，指的是城镇社区、国有农林场等，</w:t>
      </w:r>
      <w:r>
        <w:rPr>
          <w:rFonts w:hint="eastAsia"/>
          <w:color w:val="auto"/>
          <w:sz w:val="21"/>
          <w:highlight w:val="none"/>
          <w:lang w:eastAsia="zh-CN"/>
        </w:rPr>
        <w:t>本通则</w:t>
      </w:r>
      <w:r>
        <w:rPr>
          <w:color w:val="auto"/>
          <w:sz w:val="21"/>
          <w:highlight w:val="none"/>
          <w:lang w:eastAsia="zh-CN"/>
        </w:rPr>
        <w:t>不进行村庄分类。</w:t>
      </w:r>
    </w:p>
    <w:p w14:paraId="09D0D30E">
      <w:pPr>
        <w:rPr>
          <w:rFonts w:hint="eastAsia"/>
          <w:color w:val="auto"/>
          <w:sz w:val="21"/>
          <w:highlight w:val="none"/>
          <w:lang w:eastAsia="zh-CN"/>
        </w:rPr>
      </w:pPr>
    </w:p>
    <w:p w14:paraId="1E1E9F1B">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bookmarkStart w:id="54" w:name="_bookmark35"/>
      <w:bookmarkEnd w:id="54"/>
    </w:p>
    <w:p w14:paraId="207ABE2A">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p>
    <w:p w14:paraId="59F40080">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p>
    <w:p w14:paraId="30E3064D">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p>
    <w:p w14:paraId="6928DE1A">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p>
    <w:p w14:paraId="2F32E0DF">
      <w:pPr>
        <w:rPr>
          <w:rFonts w:ascii="微软雅黑" w:hAnsi="微软雅黑" w:eastAsia="微软雅黑" w:cs="微软雅黑"/>
          <w:b/>
          <w:bCs/>
          <w:color w:val="auto"/>
          <w:sz w:val="30"/>
          <w:szCs w:val="30"/>
          <w:highlight w:val="none"/>
          <w:lang w:eastAsia="zh-CN"/>
        </w:rPr>
      </w:pPr>
    </w:p>
    <w:p w14:paraId="7437BDAD">
      <w:pPr>
        <w:rPr>
          <w:rFonts w:ascii="微软雅黑" w:hAnsi="微软雅黑" w:eastAsia="微软雅黑" w:cs="微软雅黑"/>
          <w:b/>
          <w:bCs/>
          <w:color w:val="auto"/>
          <w:sz w:val="30"/>
          <w:szCs w:val="30"/>
          <w:highlight w:val="none"/>
          <w:lang w:eastAsia="zh-CN"/>
        </w:rPr>
      </w:pPr>
    </w:p>
    <w:p w14:paraId="3F232143">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p>
    <w:p w14:paraId="6404241B">
      <w:pPr>
        <w:pStyle w:val="5"/>
        <w:keepNext w:val="0"/>
        <w:keepLines w:val="0"/>
        <w:spacing w:before="0" w:after="0"/>
        <w:ind w:right="298"/>
        <w:jc w:val="center"/>
        <w:rPr>
          <w:rFonts w:hint="eastAsia" w:ascii="微软雅黑" w:hAnsi="微软雅黑" w:eastAsia="微软雅黑" w:cs="微软雅黑"/>
          <w:b/>
          <w:bCs/>
          <w:color w:val="auto"/>
          <w:sz w:val="30"/>
          <w:szCs w:val="30"/>
          <w:highlight w:val="none"/>
          <w:lang w:eastAsia="zh-CN"/>
        </w:rPr>
      </w:pPr>
      <w:r>
        <w:rPr>
          <w:rFonts w:ascii="微软雅黑" w:hAnsi="微软雅黑" w:eastAsia="微软雅黑" w:cs="微软雅黑"/>
          <w:b/>
          <w:bCs/>
          <w:color w:val="auto"/>
          <w:sz w:val="30"/>
          <w:szCs w:val="30"/>
          <w:highlight w:val="none"/>
          <w:lang w:eastAsia="zh-CN"/>
        </w:rPr>
        <w:t>附表二 机动指标使用正面清单</w:t>
      </w:r>
    </w:p>
    <w:p w14:paraId="0DEA063D">
      <w:pPr>
        <w:spacing w:before="219"/>
        <w:ind w:right="298"/>
        <w:jc w:val="center"/>
        <w:rPr>
          <w:rFonts w:hint="eastAsia"/>
          <w:color w:val="auto"/>
          <w:sz w:val="24"/>
          <w:highlight w:val="none"/>
          <w:lang w:eastAsia="zh-CN"/>
        </w:rPr>
      </w:pPr>
      <w:r>
        <w:rPr>
          <w:rFonts w:hint="eastAsia"/>
          <w:color w:val="auto"/>
          <w:highlight w:val="none"/>
        </w:rPr>
        <mc:AlternateContent>
          <mc:Choice Requires="wpg">
            <w:drawing>
              <wp:anchor distT="0" distB="0" distL="114300" distR="114300" simplePos="0" relativeHeight="251659264" behindDoc="1" locked="0" layoutInCell="1" allowOverlap="1">
                <wp:simplePos x="0" y="0"/>
                <wp:positionH relativeFrom="page">
                  <wp:posOffset>685800</wp:posOffset>
                </wp:positionH>
                <wp:positionV relativeFrom="paragraph">
                  <wp:posOffset>73660</wp:posOffset>
                </wp:positionV>
                <wp:extent cx="6190615" cy="6212840"/>
                <wp:effectExtent l="9525" t="4445" r="10160" b="2540"/>
                <wp:wrapNone/>
                <wp:docPr id="1454297782" name="组合 3"/>
                <wp:cNvGraphicFramePr/>
                <a:graphic xmlns:a="http://schemas.openxmlformats.org/drawingml/2006/main">
                  <a:graphicData uri="http://schemas.microsoft.com/office/word/2010/wordprocessingGroup">
                    <wpg:wgp>
                      <wpg:cNvGrpSpPr/>
                      <wpg:grpSpPr>
                        <a:xfrm>
                          <a:off x="0" y="0"/>
                          <a:ext cx="6190615" cy="6212840"/>
                          <a:chOff x="1080" y="116"/>
                          <a:chExt cx="9749" cy="9784"/>
                        </a:xfrm>
                      </wpg:grpSpPr>
                      <wps:wsp>
                        <wps:cNvPr id="1440701972" name="Freeform 3"/>
                        <wps:cNvSpPr/>
                        <wps:spPr bwMode="auto">
                          <a:xfrm>
                            <a:off x="1080" y="115"/>
                            <a:ext cx="10" cy="39"/>
                          </a:xfrm>
                          <a:custGeom>
                            <a:avLst/>
                            <a:gdLst>
                              <a:gd name="T0" fmla="+- 0 1090 1080"/>
                              <a:gd name="T1" fmla="*/ T0 w 10"/>
                              <a:gd name="T2" fmla="+- 0 116 116"/>
                              <a:gd name="T3" fmla="*/ 116 h 39"/>
                              <a:gd name="T4" fmla="+- 0 1080 1080"/>
                              <a:gd name="T5" fmla="*/ T4 w 10"/>
                              <a:gd name="T6" fmla="+- 0 116 116"/>
                              <a:gd name="T7" fmla="*/ 116 h 39"/>
                              <a:gd name="T8" fmla="+- 0 1080 1080"/>
                              <a:gd name="T9" fmla="*/ T8 w 10"/>
                              <a:gd name="T10" fmla="+- 0 125 116"/>
                              <a:gd name="T11" fmla="*/ 125 h 39"/>
                              <a:gd name="T12" fmla="+- 0 1080 1080"/>
                              <a:gd name="T13" fmla="*/ T12 w 10"/>
                              <a:gd name="T14" fmla="+- 0 154 116"/>
                              <a:gd name="T15" fmla="*/ 154 h 39"/>
                              <a:gd name="T16" fmla="+- 0 1090 1080"/>
                              <a:gd name="T17" fmla="*/ T16 w 10"/>
                              <a:gd name="T18" fmla="+- 0 154 116"/>
                              <a:gd name="T19" fmla="*/ 154 h 39"/>
                              <a:gd name="T20" fmla="+- 0 1090 1080"/>
                              <a:gd name="T21" fmla="*/ T20 w 10"/>
                              <a:gd name="T22" fmla="+- 0 125 116"/>
                              <a:gd name="T23" fmla="*/ 125 h 39"/>
                              <a:gd name="T24" fmla="+- 0 1090 1080"/>
                              <a:gd name="T25" fmla="*/ T24 w 10"/>
                              <a:gd name="T26" fmla="+- 0 116 116"/>
                              <a:gd name="T27" fmla="*/ 116 h 39"/>
                            </a:gdLst>
                            <a:ahLst/>
                            <a:cxnLst>
                              <a:cxn ang="0">
                                <a:pos x="T1" y="T3"/>
                              </a:cxn>
                              <a:cxn ang="0">
                                <a:pos x="T5" y="T7"/>
                              </a:cxn>
                              <a:cxn ang="0">
                                <a:pos x="T9" y="T11"/>
                              </a:cxn>
                              <a:cxn ang="0">
                                <a:pos x="T13" y="T15"/>
                              </a:cxn>
                              <a:cxn ang="0">
                                <a:pos x="T17" y="T19"/>
                              </a:cxn>
                              <a:cxn ang="0">
                                <a:pos x="T21" y="T23"/>
                              </a:cxn>
                              <a:cxn ang="0">
                                <a:pos x="T25" y="T27"/>
                              </a:cxn>
                            </a:cxnLst>
                            <a:rect l="0" t="0" r="r" b="b"/>
                            <a:pathLst>
                              <a:path w="10" h="39">
                                <a:moveTo>
                                  <a:pt x="10" y="0"/>
                                </a:moveTo>
                                <a:lnTo>
                                  <a:pt x="0" y="0"/>
                                </a:lnTo>
                                <a:lnTo>
                                  <a:pt x="0" y="9"/>
                                </a:lnTo>
                                <a:lnTo>
                                  <a:pt x="0" y="38"/>
                                </a:lnTo>
                                <a:lnTo>
                                  <a:pt x="10" y="38"/>
                                </a:lnTo>
                                <a:lnTo>
                                  <a:pt x="10" y="9"/>
                                </a:lnTo>
                                <a:lnTo>
                                  <a:pt x="10" y="0"/>
                                </a:lnTo>
                              </a:path>
                            </a:pathLst>
                          </a:custGeom>
                          <a:solidFill>
                            <a:srgbClr val="000000"/>
                          </a:solidFill>
                          <a:ln>
                            <a:noFill/>
                          </a:ln>
                        </wps:spPr>
                        <wps:bodyPr rot="0" vert="horz" wrap="square" lIns="91440" tIns="45720" rIns="91440" bIns="45720" anchor="t" anchorCtr="0" upright="1">
                          <a:noAutofit/>
                        </wps:bodyPr>
                      </wps:wsp>
                      <wps:wsp>
                        <wps:cNvPr id="376851755" name="Line 4"/>
                        <wps:cNvCnPr>
                          <a:cxnSpLocks noChangeShapeType="1"/>
                        </wps:cNvCnPr>
                        <wps:spPr bwMode="auto">
                          <a:xfrm>
                            <a:off x="1090" y="121"/>
                            <a:ext cx="9729" cy="0"/>
                          </a:xfrm>
                          <a:prstGeom prst="line">
                            <a:avLst/>
                          </a:prstGeom>
                          <a:noFill/>
                          <a:ln w="6096">
                            <a:solidFill>
                              <a:srgbClr val="000000"/>
                            </a:solidFill>
                            <a:round/>
                          </a:ln>
                        </wps:spPr>
                        <wps:bodyPr/>
                      </wps:wsp>
                      <wps:wsp>
                        <wps:cNvPr id="926078524" name="Freeform 5"/>
                        <wps:cNvSpPr/>
                        <wps:spPr bwMode="auto">
                          <a:xfrm>
                            <a:off x="10818" y="115"/>
                            <a:ext cx="10" cy="39"/>
                          </a:xfrm>
                          <a:custGeom>
                            <a:avLst/>
                            <a:gdLst>
                              <a:gd name="T0" fmla="+- 0 10828 10819"/>
                              <a:gd name="T1" fmla="*/ T0 w 10"/>
                              <a:gd name="T2" fmla="+- 0 116 116"/>
                              <a:gd name="T3" fmla="*/ 116 h 39"/>
                              <a:gd name="T4" fmla="+- 0 10819 10819"/>
                              <a:gd name="T5" fmla="*/ T4 w 10"/>
                              <a:gd name="T6" fmla="+- 0 116 116"/>
                              <a:gd name="T7" fmla="*/ 116 h 39"/>
                              <a:gd name="T8" fmla="+- 0 10819 10819"/>
                              <a:gd name="T9" fmla="*/ T8 w 10"/>
                              <a:gd name="T10" fmla="+- 0 125 116"/>
                              <a:gd name="T11" fmla="*/ 125 h 39"/>
                              <a:gd name="T12" fmla="+- 0 10819 10819"/>
                              <a:gd name="T13" fmla="*/ T12 w 10"/>
                              <a:gd name="T14" fmla="+- 0 154 116"/>
                              <a:gd name="T15" fmla="*/ 154 h 39"/>
                              <a:gd name="T16" fmla="+- 0 10828 10819"/>
                              <a:gd name="T17" fmla="*/ T16 w 10"/>
                              <a:gd name="T18" fmla="+- 0 154 116"/>
                              <a:gd name="T19" fmla="*/ 154 h 39"/>
                              <a:gd name="T20" fmla="+- 0 10828 10819"/>
                              <a:gd name="T21" fmla="*/ T20 w 10"/>
                              <a:gd name="T22" fmla="+- 0 125 116"/>
                              <a:gd name="T23" fmla="*/ 125 h 39"/>
                              <a:gd name="T24" fmla="+- 0 10828 10819"/>
                              <a:gd name="T25" fmla="*/ T24 w 10"/>
                              <a:gd name="T26" fmla="+- 0 116 116"/>
                              <a:gd name="T27" fmla="*/ 116 h 39"/>
                            </a:gdLst>
                            <a:ahLst/>
                            <a:cxnLst>
                              <a:cxn ang="0">
                                <a:pos x="T1" y="T3"/>
                              </a:cxn>
                              <a:cxn ang="0">
                                <a:pos x="T5" y="T7"/>
                              </a:cxn>
                              <a:cxn ang="0">
                                <a:pos x="T9" y="T11"/>
                              </a:cxn>
                              <a:cxn ang="0">
                                <a:pos x="T13" y="T15"/>
                              </a:cxn>
                              <a:cxn ang="0">
                                <a:pos x="T17" y="T19"/>
                              </a:cxn>
                              <a:cxn ang="0">
                                <a:pos x="T21" y="T23"/>
                              </a:cxn>
                              <a:cxn ang="0">
                                <a:pos x="T25" y="T27"/>
                              </a:cxn>
                            </a:cxnLst>
                            <a:rect l="0" t="0" r="r" b="b"/>
                            <a:pathLst>
                              <a:path w="10" h="39">
                                <a:moveTo>
                                  <a:pt x="9" y="0"/>
                                </a:moveTo>
                                <a:lnTo>
                                  <a:pt x="0" y="0"/>
                                </a:lnTo>
                                <a:lnTo>
                                  <a:pt x="0" y="9"/>
                                </a:lnTo>
                                <a:lnTo>
                                  <a:pt x="0" y="38"/>
                                </a:lnTo>
                                <a:lnTo>
                                  <a:pt x="9" y="38"/>
                                </a:lnTo>
                                <a:lnTo>
                                  <a:pt x="9" y="9"/>
                                </a:lnTo>
                                <a:lnTo>
                                  <a:pt x="9" y="0"/>
                                </a:lnTo>
                              </a:path>
                            </a:pathLst>
                          </a:custGeom>
                          <a:solidFill>
                            <a:srgbClr val="000000"/>
                          </a:solidFill>
                          <a:ln>
                            <a:noFill/>
                          </a:ln>
                        </wps:spPr>
                        <wps:bodyPr rot="0" vert="horz" wrap="square" lIns="91440" tIns="45720" rIns="91440" bIns="45720" anchor="t" anchorCtr="0" upright="1">
                          <a:noAutofit/>
                        </wps:bodyPr>
                      </wps:wsp>
                      <wps:wsp>
                        <wps:cNvPr id="1782104561" name="Line 6"/>
                        <wps:cNvCnPr>
                          <a:cxnSpLocks noChangeShapeType="1"/>
                        </wps:cNvCnPr>
                        <wps:spPr bwMode="auto">
                          <a:xfrm>
                            <a:off x="1090" y="627"/>
                            <a:ext cx="9729" cy="0"/>
                          </a:xfrm>
                          <a:prstGeom prst="line">
                            <a:avLst/>
                          </a:prstGeom>
                          <a:noFill/>
                          <a:ln w="6096">
                            <a:solidFill>
                              <a:srgbClr val="000000"/>
                            </a:solidFill>
                            <a:round/>
                          </a:ln>
                        </wps:spPr>
                        <wps:bodyPr/>
                      </wps:wsp>
                      <wps:wsp>
                        <wps:cNvPr id="1530541081" name="Line 7"/>
                        <wps:cNvCnPr>
                          <a:cxnSpLocks noChangeShapeType="1"/>
                        </wps:cNvCnPr>
                        <wps:spPr bwMode="auto">
                          <a:xfrm>
                            <a:off x="1085" y="154"/>
                            <a:ext cx="0" cy="9736"/>
                          </a:xfrm>
                          <a:prstGeom prst="line">
                            <a:avLst/>
                          </a:prstGeom>
                          <a:noFill/>
                          <a:ln w="6096">
                            <a:solidFill>
                              <a:srgbClr val="000000"/>
                            </a:solidFill>
                            <a:round/>
                          </a:ln>
                        </wps:spPr>
                        <wps:bodyPr/>
                      </wps:wsp>
                      <wps:wsp>
                        <wps:cNvPr id="8368567" name="Rectangle 8"/>
                        <wps:cNvSpPr>
                          <a:spLocks noChangeArrowheads="1"/>
                        </wps:cNvSpPr>
                        <wps:spPr bwMode="auto">
                          <a:xfrm>
                            <a:off x="1080" y="9889"/>
                            <a:ext cx="10" cy="10"/>
                          </a:xfrm>
                          <a:prstGeom prst="rect">
                            <a:avLst/>
                          </a:prstGeom>
                          <a:solidFill>
                            <a:srgbClr val="000000"/>
                          </a:solidFill>
                          <a:ln>
                            <a:noFill/>
                          </a:ln>
                        </wps:spPr>
                        <wps:bodyPr rot="0" vert="horz" wrap="square" lIns="91440" tIns="45720" rIns="91440" bIns="45720" anchor="t" anchorCtr="0" upright="1">
                          <a:noAutofit/>
                        </wps:bodyPr>
                      </wps:wsp>
                      <wps:wsp>
                        <wps:cNvPr id="1686850963" name="Line 9"/>
                        <wps:cNvCnPr>
                          <a:cxnSpLocks noChangeShapeType="1"/>
                        </wps:cNvCnPr>
                        <wps:spPr bwMode="auto">
                          <a:xfrm>
                            <a:off x="1090" y="9894"/>
                            <a:ext cx="9729" cy="0"/>
                          </a:xfrm>
                          <a:prstGeom prst="line">
                            <a:avLst/>
                          </a:prstGeom>
                          <a:noFill/>
                          <a:ln w="6096">
                            <a:solidFill>
                              <a:srgbClr val="000000"/>
                            </a:solidFill>
                            <a:round/>
                          </a:ln>
                        </wps:spPr>
                        <wps:bodyPr/>
                      </wps:wsp>
                      <wps:wsp>
                        <wps:cNvPr id="702619216" name="Line 10"/>
                        <wps:cNvCnPr>
                          <a:cxnSpLocks noChangeShapeType="1"/>
                        </wps:cNvCnPr>
                        <wps:spPr bwMode="auto">
                          <a:xfrm>
                            <a:off x="10824" y="154"/>
                            <a:ext cx="0" cy="9736"/>
                          </a:xfrm>
                          <a:prstGeom prst="line">
                            <a:avLst/>
                          </a:prstGeom>
                          <a:noFill/>
                          <a:ln w="6096">
                            <a:solidFill>
                              <a:srgbClr val="000000"/>
                            </a:solidFill>
                            <a:round/>
                          </a:ln>
                        </wps:spPr>
                        <wps:bodyPr/>
                      </wps:wsp>
                      <wps:wsp>
                        <wps:cNvPr id="1472269257" name="Rectangle 11"/>
                        <wps:cNvSpPr>
                          <a:spLocks noChangeArrowheads="1"/>
                        </wps:cNvSpPr>
                        <wps:spPr bwMode="auto">
                          <a:xfrm>
                            <a:off x="10818" y="9889"/>
                            <a:ext cx="10" cy="1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组合 3" o:spid="_x0000_s1026" o:spt="203" style="position:absolute;left:0pt;margin-left:54pt;margin-top:5.8pt;height:489.2pt;width:487.45pt;mso-position-horizontal-relative:page;z-index:-251657216;mso-width-relative:page;mso-height-relative:page;" coordorigin="1080,116" coordsize="9749,9784" o:gfxdata="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">
                <o:lock v:ext="edit" aspectratio="f"/>
                <v:shape id="Freeform 3" o:spid="_x0000_s1026" o:spt="100" style="position:absolute;left:1080;top:115;height:39;width:10;" fillcolor="#000000" filled="t" stroked="f" coordsize="10,39" o:gfxdata="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Ke&#10;iEXCAAAA4wAAAA8AAAAAAAAAAQAgAAAAIgAAAGRycy9kb3ducmV2LnhtbFBLAQIUABQAAAAIAIdO&#10;4kAzLwWeOwAAADkAAAAQAAAAAAAAAAEAIAAAABEBAABkcnMvc2hhcGV4bWwueG1sUEsFBgAAAAAG&#10;AAYAWwEAALsDAAAAAA==&#10;" path="m10,0l0,0,0,9,0,38,10,38,10,9,10,0e">
                  <v:path o:connectlocs="10,116;0,116;0,125;0,154;10,154;10,125;10,116" o:connectangles="0,0,0,0,0,0,0"/>
                  <v:fill on="t" focussize="0,0"/>
                  <v:stroke on="f"/>
                  <v:imagedata o:title=""/>
                  <o:lock v:ext="edit" aspectratio="f"/>
                </v:shape>
                <v:line id="Line 4" o:spid="_x0000_s1026" o:spt="20" style="position:absolute;left:1090;top:121;height:0;width:9729;" filled="f" stroked="t" coordsize="21600,21600" o:gfxdata="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A8KzbfFAAAA4gAAAA8AAAAAAAAAAQAgAAAAIgAAAGRycy9kb3ducmV2LnhtbFBLAQIUABQAAAAI&#10;AIdO4kAzLwWeOwAAADkAAAAQAAAAAAAAAAEAIAAAABQBAABkcnMvc2hhcGV4bWwueG1sUEsFBgAA&#10;AAAGAAYAWwEAAL4DAAAAAA==&#10;">
                  <v:fill on="f" focussize="0,0"/>
                  <v:stroke weight="0.48pt" color="#000000" joinstyle="round"/>
                  <v:imagedata o:title=""/>
                  <o:lock v:ext="edit" aspectratio="f"/>
                </v:line>
                <v:shape id="Freeform 5" o:spid="_x0000_s1026" o:spt="100" style="position:absolute;left:10818;top:115;height:39;width:10;" fillcolor="#000000" filled="t" stroked="f" coordsize="10,39" o:gfxdata="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FeEY3/FAAAA4gAAAA8AAAAAAAAAAQAgAAAAIgAAAGRycy9kb3ducmV2LnhtbFBLAQIUABQAAAAI&#10;AIdO4kAzLwWeOwAAADkAAAAQAAAAAAAAAAEAIAAAABQBAABkcnMvc2hhcGV4bWwueG1sUEsFBgAA&#10;AAAGAAYAWwEAAL4DAAAAAA==&#10;" path="m9,0l0,0,0,9,0,38,9,38,9,9,9,0e">
                  <v:path o:connectlocs="9,116;0,116;0,125;0,154;9,154;9,125;9,116" o:connectangles="0,0,0,0,0,0,0"/>
                  <v:fill on="t" focussize="0,0"/>
                  <v:stroke on="f"/>
                  <v:imagedata o:title=""/>
                  <o:lock v:ext="edit" aspectratio="f"/>
                </v:shape>
                <v:line id="Line 6" o:spid="_x0000_s1026" o:spt="20" style="position:absolute;left:1090;top:627;height:0;width:9729;" filled="f" stroked="t" coordsize="21600,21600" o:gfxdata="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pm&#10;fZrCAAAA4wAAAA8AAAAAAAAAAQAgAAAAIgAAAGRycy9kb3ducmV2LnhtbFBLAQIUABQAAAAIAIdO&#10;4kAzLwWeOwAAADkAAAAQAAAAAAAAAAEAIAAAABEBAABkcnMvc2hhcGV4bWwueG1sUEsFBgAAAAAG&#10;AAYAWwEAALsDAAAAAA==&#10;">
                  <v:fill on="f" focussize="0,0"/>
                  <v:stroke weight="0.48pt" color="#000000" joinstyle="round"/>
                  <v:imagedata o:title=""/>
                  <o:lock v:ext="edit" aspectratio="f"/>
                </v:line>
                <v:line id="Line 7" o:spid="_x0000_s1026" o:spt="20" style="position:absolute;left:1085;top:154;height:9736;width:0;" filled="f" stroked="t" coordsize="21600,21600" o:gfxdata="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dX&#10;axXCAAAA4wAAAA8AAAAAAAAAAQAgAAAAIgAAAGRycy9kb3ducmV2LnhtbFBLAQIUABQAAAAIAIdO&#10;4kAzLwWeOwAAADkAAAAQAAAAAAAAAAEAIAAAABEBAABkcnMvc2hhcGV4bWwueG1sUEsFBgAAAAAG&#10;AAYAWwEAALsDAAAAAA==&#10;">
                  <v:fill on="f" focussize="0,0"/>
                  <v:stroke weight="0.48pt" color="#000000" joinstyle="round"/>
                  <v:imagedata o:title=""/>
                  <o:lock v:ext="edit" aspectratio="f"/>
                </v:line>
                <v:rect id="Rectangle 8" o:spid="_x0000_s1026" o:spt="1" style="position:absolute;left:1080;top:9889;height:10;width:10;" fillcolor="#000000" filled="t" stroked="f" coordsize="21600,21600" o:gfxdata="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qnqRbsQAAADgAAAADwAAAAAAAAABACAAAAAiAAAAZHJzL2Rvd25yZXYueG1sUEsBAhQAFAAAAAgA&#10;h07iQDMvBZ47AAAAOQAAABAAAAAAAAAAAQAgAAAAEwEAAGRycy9zaGFwZXhtbC54bWxQSwUGAAAA&#10;AAYABgBbAQAAvQMAAAAA&#10;">
                  <v:fill on="t" focussize="0,0"/>
                  <v:stroke on="f"/>
                  <v:imagedata o:title=""/>
                  <o:lock v:ext="edit" aspectratio="f"/>
                </v:rect>
                <v:line id="Line 9" o:spid="_x0000_s1026" o:spt="20" style="position:absolute;left:1090;top:9894;height:0;width:9729;" filled="f" stroked="t" coordsize="21600,21600" o:gfxdata="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Lnv&#10;o8EAAADjAAAADwAAAAAAAAABACAAAAAiAAAAZHJzL2Rvd25yZXYueG1sUEsBAhQAFAAAAAgAh07i&#10;QDMvBZ47AAAAOQAAABAAAAAAAAAAAQAgAAAAEAEAAGRycy9zaGFwZXhtbC54bWxQSwUGAAAAAAYA&#10;BgBbAQAAugMAAAAA&#10;">
                  <v:fill on="f" focussize="0,0"/>
                  <v:stroke weight="0.48pt" color="#000000" joinstyle="round"/>
                  <v:imagedata o:title=""/>
                  <o:lock v:ext="edit" aspectratio="f"/>
                </v:line>
                <v:line id="Line 10" o:spid="_x0000_s1026" o:spt="20" style="position:absolute;left:10824;top:154;height:9736;width:0;" filled="f" stroked="t" coordsize="21600,21600" o:gfxdata="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hhOu0cQAAADiAAAADwAAAAAAAAABACAAAAAiAAAAZHJzL2Rvd25yZXYueG1sUEsBAhQAFAAAAAgA&#10;h07iQDMvBZ47AAAAOQAAABAAAAAAAAAAAQAgAAAAEwEAAGRycy9zaGFwZXhtbC54bWxQSwUGAAAA&#10;AAYABgBbAQAAvQMAAAAA&#10;">
                  <v:fill on="f" focussize="0,0"/>
                  <v:stroke weight="0.48pt" color="#000000" joinstyle="round"/>
                  <v:imagedata o:title=""/>
                  <o:lock v:ext="edit" aspectratio="f"/>
                </v:line>
                <v:rect id="Rectangle 11" o:spid="_x0000_s1026" o:spt="1" style="position:absolute;left:10818;top:9889;height:10;width:10;" fillcolor="#000000" filled="t" stroked="f" coordsize="21600,21600" o:gfxdata="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5c&#10;6bzCAAAA4wAAAA8AAAAAAAAAAQAgAAAAIgAAAGRycy9kb3ducmV2LnhtbFBLAQIUABQAAAAIAIdO&#10;4kAzLwWeOwAAADkAAAAQAAAAAAAAAAEAIAAAABEBAABkcnMvc2hhcGV4bWwueG1sUEsFBgAAAAAG&#10;AAYAWwEAALsDAAAAAA==&#10;">
                  <v:fill on="t" focussize="0,0"/>
                  <v:stroke on="f"/>
                  <v:imagedata o:title=""/>
                  <o:lock v:ext="edit" aspectratio="f"/>
                </v:rect>
              </v:group>
            </w:pict>
          </mc:Fallback>
        </mc:AlternateContent>
      </w:r>
      <w:r>
        <w:rPr>
          <w:color w:val="auto"/>
          <w:sz w:val="24"/>
          <w:highlight w:val="none"/>
          <w:lang w:eastAsia="zh-CN"/>
        </w:rPr>
        <w:t>机动指标使用正面清单</w:t>
      </w:r>
    </w:p>
    <w:p w14:paraId="65FE113F">
      <w:pPr>
        <w:pStyle w:val="11"/>
        <w:spacing w:before="2"/>
        <w:ind w:left="0"/>
        <w:rPr>
          <w:rFonts w:hint="eastAsia"/>
          <w:color w:val="auto"/>
          <w:sz w:val="10"/>
          <w:highlight w:val="none"/>
          <w:lang w:eastAsia="zh-CN"/>
        </w:rPr>
      </w:pPr>
    </w:p>
    <w:p w14:paraId="5EE89BD7">
      <w:pPr>
        <w:spacing w:before="67" w:line="343" w:lineRule="auto"/>
        <w:ind w:left="133" w:right="510"/>
        <w:rPr>
          <w:rFonts w:hint="eastAsia"/>
          <w:color w:val="auto"/>
          <w:sz w:val="24"/>
          <w:highlight w:val="none"/>
          <w:lang w:eastAsia="zh-CN"/>
        </w:rPr>
      </w:pPr>
      <w:r>
        <w:rPr>
          <w:color w:val="auto"/>
          <w:sz w:val="24"/>
          <w:highlight w:val="none"/>
          <w:lang w:eastAsia="zh-CN"/>
        </w:rPr>
        <w:t>在符合</w:t>
      </w:r>
      <w:r>
        <w:rPr>
          <w:rFonts w:hint="eastAsia"/>
          <w:color w:val="auto"/>
          <w:sz w:val="24"/>
          <w:highlight w:val="none"/>
          <w:lang w:eastAsia="zh-CN"/>
        </w:rPr>
        <w:t>“三区三线”</w:t>
      </w:r>
      <w:r>
        <w:rPr>
          <w:color w:val="auto"/>
          <w:sz w:val="24"/>
          <w:highlight w:val="none"/>
          <w:lang w:eastAsia="zh-CN"/>
        </w:rPr>
        <w:t>和其他底线红线的相关管控要求</w:t>
      </w:r>
      <w:r>
        <w:rPr>
          <w:rFonts w:hint="eastAsia"/>
          <w:color w:val="auto"/>
          <w:sz w:val="24"/>
          <w:highlight w:val="none"/>
          <w:lang w:eastAsia="zh-CN"/>
        </w:rPr>
        <w:t>，以及</w:t>
      </w:r>
      <w:r>
        <w:rPr>
          <w:color w:val="auto"/>
          <w:sz w:val="24"/>
          <w:highlight w:val="none"/>
          <w:lang w:eastAsia="zh-CN"/>
        </w:rPr>
        <w:t>符合产业项目准入负面清单中明确的管控措施和要求的前提下，应符合如下要求：</w:t>
      </w:r>
    </w:p>
    <w:p w14:paraId="1CAF6DE9">
      <w:pPr>
        <w:spacing w:line="306" w:lineRule="exact"/>
        <w:ind w:left="133"/>
        <w:rPr>
          <w:rFonts w:hint="eastAsia"/>
          <w:color w:val="auto"/>
          <w:sz w:val="24"/>
          <w:highlight w:val="none"/>
          <w:lang w:eastAsia="zh-CN"/>
        </w:rPr>
      </w:pPr>
      <w:r>
        <w:rPr>
          <w:color w:val="auto"/>
          <w:sz w:val="24"/>
          <w:highlight w:val="none"/>
          <w:lang w:eastAsia="zh-CN"/>
        </w:rPr>
        <w:t>（一）属于以“用途留白</w:t>
      </w:r>
      <w:r>
        <w:rPr>
          <w:rFonts w:hint="eastAsia"/>
          <w:color w:val="auto"/>
          <w:sz w:val="24"/>
          <w:highlight w:val="none"/>
          <w:lang w:eastAsia="zh-CN"/>
        </w:rPr>
        <w:t>”“</w:t>
      </w:r>
      <w:r>
        <w:rPr>
          <w:color w:val="auto"/>
          <w:sz w:val="24"/>
          <w:highlight w:val="none"/>
          <w:lang w:eastAsia="zh-CN"/>
        </w:rPr>
        <w:t>点位示意”或“项目清单”等方式纳入村庄规划的项目类。</w:t>
      </w:r>
    </w:p>
    <w:p w14:paraId="11183F37">
      <w:pPr>
        <w:spacing w:before="129" w:line="343" w:lineRule="auto"/>
        <w:ind w:left="133" w:right="563"/>
        <w:rPr>
          <w:rFonts w:hint="eastAsia"/>
          <w:color w:val="auto"/>
          <w:sz w:val="24"/>
          <w:highlight w:val="none"/>
          <w:lang w:eastAsia="zh-CN"/>
        </w:rPr>
      </w:pPr>
      <w:r>
        <w:rPr>
          <w:color w:val="auto"/>
          <w:sz w:val="24"/>
          <w:highlight w:val="none"/>
          <w:lang w:eastAsia="zh-CN"/>
        </w:rPr>
        <w:t xml:space="preserve">（二）单个建设用地面积小于 </w:t>
      </w:r>
      <w:r>
        <w:rPr>
          <w:rFonts w:ascii="Times New Roman" w:eastAsia="Times New Roman"/>
          <w:color w:val="auto"/>
          <w:sz w:val="24"/>
          <w:highlight w:val="none"/>
          <w:lang w:eastAsia="zh-CN"/>
        </w:rPr>
        <w:t xml:space="preserve">30 </w:t>
      </w:r>
      <w:r>
        <w:rPr>
          <w:color w:val="auto"/>
          <w:sz w:val="24"/>
          <w:highlight w:val="none"/>
          <w:lang w:eastAsia="zh-CN"/>
        </w:rPr>
        <w:t>亩，符合国家和广西壮族自治区规定的点状供地范围的项目类：</w:t>
      </w:r>
    </w:p>
    <w:p w14:paraId="6A3DE3F7">
      <w:pPr>
        <w:spacing w:line="305" w:lineRule="exact"/>
        <w:ind w:left="133"/>
        <w:rPr>
          <w:rFonts w:hint="eastAsia"/>
          <w:color w:val="auto"/>
          <w:sz w:val="24"/>
          <w:highlight w:val="none"/>
          <w:lang w:eastAsia="zh-CN"/>
        </w:rPr>
      </w:pPr>
      <w:r>
        <w:rPr>
          <w:rFonts w:hint="eastAsia" w:ascii="Times New Roman" w:eastAsia="Times New Roman"/>
          <w:color w:val="auto"/>
          <w:sz w:val="24"/>
          <w:highlight w:val="none"/>
          <w:lang w:eastAsia="zh-CN"/>
        </w:rPr>
        <w:t>1.</w:t>
      </w:r>
      <w:r>
        <w:rPr>
          <w:color w:val="auto"/>
          <w:sz w:val="24"/>
          <w:highlight w:val="none"/>
          <w:lang w:eastAsia="zh-CN"/>
        </w:rPr>
        <w:t>农村基础设施和公共服务设施用地；</w:t>
      </w:r>
    </w:p>
    <w:p w14:paraId="635F6367">
      <w:pPr>
        <w:spacing w:before="132"/>
        <w:ind w:left="133"/>
        <w:rPr>
          <w:rFonts w:hint="eastAsia"/>
          <w:color w:val="auto"/>
          <w:sz w:val="24"/>
          <w:highlight w:val="none"/>
          <w:lang w:eastAsia="zh-CN"/>
        </w:rPr>
      </w:pPr>
      <w:r>
        <w:rPr>
          <w:rFonts w:hint="eastAsia" w:ascii="Times New Roman" w:eastAsia="Times New Roman"/>
          <w:color w:val="auto"/>
          <w:sz w:val="24"/>
          <w:highlight w:val="none"/>
          <w:lang w:eastAsia="zh-CN"/>
        </w:rPr>
        <w:t>2.</w:t>
      </w:r>
      <w:r>
        <w:rPr>
          <w:color w:val="auto"/>
          <w:sz w:val="24"/>
          <w:highlight w:val="none"/>
          <w:lang w:eastAsia="zh-CN"/>
        </w:rPr>
        <w:t>乡镇企业、农民合作社、家庭农场、森林经营单位自用的管理和生活用地；</w:t>
      </w:r>
    </w:p>
    <w:p w14:paraId="5D755D1A">
      <w:pPr>
        <w:spacing w:before="129"/>
        <w:ind w:left="133"/>
        <w:rPr>
          <w:rFonts w:hint="eastAsia"/>
          <w:color w:val="auto"/>
          <w:sz w:val="24"/>
          <w:highlight w:val="none"/>
          <w:lang w:eastAsia="zh-CN"/>
        </w:rPr>
      </w:pPr>
      <w:r>
        <w:rPr>
          <w:rFonts w:hint="eastAsia" w:ascii="Times New Roman" w:eastAsia="Times New Roman"/>
          <w:color w:val="auto"/>
          <w:sz w:val="24"/>
          <w:highlight w:val="none"/>
          <w:lang w:eastAsia="zh-CN"/>
        </w:rPr>
        <w:t>3.</w:t>
      </w:r>
      <w:r>
        <w:rPr>
          <w:color w:val="auto"/>
          <w:sz w:val="24"/>
          <w:highlight w:val="none"/>
          <w:lang w:eastAsia="zh-CN"/>
        </w:rPr>
        <w:t>休闲农业和养老服务设施用地；</w:t>
      </w:r>
    </w:p>
    <w:p w14:paraId="5A77FA99">
      <w:pPr>
        <w:spacing w:before="3"/>
        <w:ind w:left="133"/>
        <w:rPr>
          <w:rFonts w:hint="eastAsia"/>
          <w:color w:val="auto"/>
          <w:sz w:val="24"/>
          <w:highlight w:val="none"/>
          <w:lang w:eastAsia="zh-CN"/>
        </w:rPr>
      </w:pPr>
      <w:r>
        <w:rPr>
          <w:rFonts w:hint="eastAsia" w:ascii="Times New Roman" w:eastAsiaTheme="minorEastAsia"/>
          <w:color w:val="auto"/>
          <w:sz w:val="24"/>
          <w:highlight w:val="none"/>
          <w:lang w:eastAsia="zh-CN"/>
        </w:rPr>
        <w:t>4.</w:t>
      </w:r>
      <w:r>
        <w:rPr>
          <w:color w:val="auto"/>
          <w:sz w:val="24"/>
          <w:highlight w:val="none"/>
          <w:lang w:eastAsia="zh-CN"/>
        </w:rPr>
        <w:t>依托于山水田林湖海湿地的旅游项目用地；</w:t>
      </w:r>
    </w:p>
    <w:p w14:paraId="2B4C5CDE">
      <w:pPr>
        <w:spacing w:before="130"/>
        <w:ind w:left="133"/>
        <w:rPr>
          <w:rFonts w:hint="eastAsia"/>
          <w:color w:val="auto"/>
          <w:sz w:val="24"/>
          <w:highlight w:val="none"/>
          <w:lang w:eastAsia="zh-CN"/>
        </w:rPr>
      </w:pPr>
      <w:r>
        <w:rPr>
          <w:rFonts w:hint="eastAsia" w:ascii="Times New Roman" w:eastAsiaTheme="minorEastAsia"/>
          <w:color w:val="auto"/>
          <w:sz w:val="24"/>
          <w:highlight w:val="none"/>
          <w:lang w:eastAsia="zh-CN"/>
        </w:rPr>
        <w:t>5.</w:t>
      </w:r>
      <w:r>
        <w:rPr>
          <w:color w:val="auto"/>
          <w:sz w:val="24"/>
          <w:highlight w:val="none"/>
          <w:lang w:eastAsia="zh-CN"/>
        </w:rPr>
        <w:t>法律法规规定的符合点状供地条件的其他用地。</w:t>
      </w:r>
    </w:p>
    <w:p w14:paraId="2B938AA4">
      <w:pPr>
        <w:spacing w:before="131"/>
        <w:ind w:left="133"/>
        <w:rPr>
          <w:rFonts w:hint="eastAsia"/>
          <w:color w:val="auto"/>
          <w:sz w:val="24"/>
          <w:highlight w:val="none"/>
          <w:lang w:eastAsia="zh-CN"/>
        </w:rPr>
      </w:pPr>
      <w:r>
        <w:rPr>
          <w:color w:val="auto"/>
          <w:sz w:val="24"/>
          <w:highlight w:val="none"/>
          <w:lang w:eastAsia="zh-CN"/>
        </w:rPr>
        <w:t>（三）其他特殊选址、零星用地的项目类：</w:t>
      </w:r>
    </w:p>
    <w:p w14:paraId="563A6ED3">
      <w:pPr>
        <w:spacing w:before="130" w:line="343" w:lineRule="auto"/>
        <w:ind w:left="133" w:right="630"/>
        <w:rPr>
          <w:rFonts w:hint="eastAsia"/>
          <w:color w:val="auto"/>
          <w:sz w:val="24"/>
          <w:highlight w:val="none"/>
          <w:lang w:eastAsia="zh-CN"/>
        </w:rPr>
      </w:pPr>
      <w:r>
        <w:rPr>
          <w:rFonts w:hint="eastAsia" w:ascii="Times New Roman" w:eastAsia="Times New Roman"/>
          <w:color w:val="auto"/>
          <w:sz w:val="24"/>
          <w:highlight w:val="none"/>
          <w:lang w:eastAsia="zh-CN"/>
        </w:rPr>
        <w:t>1.</w:t>
      </w:r>
      <w:r>
        <w:rPr>
          <w:color w:val="auto"/>
          <w:sz w:val="24"/>
          <w:highlight w:val="none"/>
          <w:lang w:eastAsia="zh-CN"/>
        </w:rPr>
        <w:t>有特殊选址要求的乡村公共服务设施，包括养老服务设施、农村公益性公墓、卫生防疫站、乡村特殊教育学校等；</w:t>
      </w:r>
    </w:p>
    <w:p w14:paraId="1ABA65CD">
      <w:pPr>
        <w:spacing w:line="343" w:lineRule="auto"/>
        <w:ind w:left="133" w:right="629"/>
        <w:rPr>
          <w:rFonts w:hint="eastAsia"/>
          <w:color w:val="auto"/>
          <w:sz w:val="24"/>
          <w:highlight w:val="none"/>
          <w:lang w:eastAsia="zh-CN"/>
        </w:rPr>
      </w:pPr>
      <w:r>
        <w:rPr>
          <w:rFonts w:hint="eastAsia" w:ascii="Times New Roman" w:eastAsia="Times New Roman"/>
          <w:color w:val="auto"/>
          <w:sz w:val="24"/>
          <w:highlight w:val="none"/>
          <w:lang w:eastAsia="zh-CN"/>
        </w:rPr>
        <w:t>2.</w:t>
      </w:r>
      <w:r>
        <w:rPr>
          <w:color w:val="auto"/>
          <w:sz w:val="24"/>
          <w:highlight w:val="none"/>
          <w:lang w:eastAsia="zh-CN"/>
        </w:rPr>
        <w:t>有特殊选址要求的基础设施，包括供水设施、泵站、污水处理设施、垃圾收储设施、垃圾转运处理设施、公共厕所、厕所粪污集中处理相关设施、供电设施、通讯设施等；</w:t>
      </w:r>
    </w:p>
    <w:p w14:paraId="7BE03872">
      <w:pPr>
        <w:spacing w:line="306" w:lineRule="exact"/>
        <w:ind w:left="133"/>
        <w:rPr>
          <w:rFonts w:hint="eastAsia"/>
          <w:color w:val="auto"/>
          <w:sz w:val="24"/>
          <w:highlight w:val="none"/>
          <w:lang w:eastAsia="zh-CN"/>
        </w:rPr>
      </w:pPr>
      <w:r>
        <w:rPr>
          <w:rFonts w:hint="eastAsia" w:ascii="Times New Roman" w:eastAsia="Times New Roman"/>
          <w:color w:val="auto"/>
          <w:sz w:val="24"/>
          <w:highlight w:val="none"/>
          <w:lang w:eastAsia="zh-CN"/>
        </w:rPr>
        <w:t>3.</w:t>
      </w:r>
      <w:r>
        <w:rPr>
          <w:color w:val="auto"/>
          <w:sz w:val="24"/>
          <w:highlight w:val="none"/>
          <w:lang w:eastAsia="zh-CN"/>
        </w:rPr>
        <w:t>零星分散的村民居住等建设项目。</w:t>
      </w:r>
    </w:p>
    <w:p w14:paraId="2B5A5898">
      <w:pPr>
        <w:spacing w:line="306" w:lineRule="exact"/>
        <w:rPr>
          <w:rFonts w:hint="eastAsia"/>
          <w:color w:val="auto"/>
          <w:sz w:val="24"/>
          <w:highlight w:val="none"/>
          <w:lang w:eastAsia="zh-CN"/>
        </w:rPr>
        <w:sectPr>
          <w:footerReference r:id="rId11" w:type="default"/>
          <w:pgSz w:w="11910" w:h="16840"/>
          <w:pgMar w:top="1418" w:right="851" w:bottom="1418" w:left="1134" w:header="0" w:footer="603" w:gutter="0"/>
          <w:pgNumType w:fmt="decimal"/>
          <w:cols w:space="720" w:num="1"/>
        </w:sectPr>
      </w:pPr>
    </w:p>
    <w:p w14:paraId="7D697C9D">
      <w:pPr>
        <w:pStyle w:val="5"/>
        <w:keepNext w:val="0"/>
        <w:keepLines w:val="0"/>
        <w:spacing w:before="0" w:after="0"/>
        <w:ind w:right="298"/>
        <w:jc w:val="center"/>
        <w:rPr>
          <w:rFonts w:hint="eastAsia" w:ascii="微软雅黑" w:hAnsi="微软雅黑" w:eastAsia="微软雅黑" w:cs="微软雅黑"/>
          <w:b/>
          <w:bCs/>
          <w:color w:val="auto"/>
          <w:sz w:val="30"/>
          <w:szCs w:val="30"/>
          <w:highlight w:val="none"/>
          <w:lang w:eastAsia="zh-CN"/>
        </w:rPr>
      </w:pPr>
      <w:bookmarkStart w:id="55" w:name="_bookmark36"/>
      <w:bookmarkEnd w:id="55"/>
      <w:r>
        <w:rPr>
          <w:rFonts w:ascii="微软雅黑" w:hAnsi="微软雅黑" w:eastAsia="微软雅黑" w:cs="微软雅黑"/>
          <w:b/>
          <w:bCs/>
          <w:color w:val="auto"/>
          <w:sz w:val="30"/>
          <w:szCs w:val="30"/>
          <w:highlight w:val="none"/>
          <w:lang w:eastAsia="zh-CN"/>
        </w:rPr>
        <w:t>附表三 村庄建设用地负面清单</w:t>
      </w:r>
    </w:p>
    <w:p w14:paraId="52DE7EA2">
      <w:pPr>
        <w:spacing w:before="219"/>
        <w:ind w:left="3773"/>
        <w:rPr>
          <w:rFonts w:hint="eastAsia"/>
          <w:color w:val="auto"/>
          <w:sz w:val="24"/>
          <w:highlight w:val="none"/>
          <w:lang w:eastAsia="zh-CN"/>
        </w:rPr>
      </w:pPr>
      <w:r>
        <w:rPr>
          <w:rFonts w:hint="eastAsia"/>
          <w:color w:val="auto"/>
          <w:highlight w:val="none"/>
        </w:rPr>
        <mc:AlternateContent>
          <mc:Choice Requires="wpg">
            <w:drawing>
              <wp:anchor distT="0" distB="0" distL="114300" distR="114300" simplePos="0" relativeHeight="251660288" behindDoc="1" locked="0" layoutInCell="1" allowOverlap="1">
                <wp:simplePos x="0" y="0"/>
                <wp:positionH relativeFrom="page">
                  <wp:posOffset>685800</wp:posOffset>
                </wp:positionH>
                <wp:positionV relativeFrom="paragraph">
                  <wp:posOffset>73660</wp:posOffset>
                </wp:positionV>
                <wp:extent cx="6190615" cy="7132955"/>
                <wp:effectExtent l="1270" t="1270" r="18415" b="9525"/>
                <wp:wrapNone/>
                <wp:docPr id="799762777" name="组合 2"/>
                <wp:cNvGraphicFramePr/>
                <a:graphic xmlns:a="http://schemas.openxmlformats.org/drawingml/2006/main">
                  <a:graphicData uri="http://schemas.microsoft.com/office/word/2010/wordprocessingGroup">
                    <wpg:wgp>
                      <wpg:cNvGrpSpPr/>
                      <wpg:grpSpPr>
                        <a:xfrm>
                          <a:off x="0" y="0"/>
                          <a:ext cx="6190615" cy="7132955"/>
                          <a:chOff x="1080" y="116"/>
                          <a:chExt cx="9749" cy="10224"/>
                        </a:xfrm>
                      </wpg:grpSpPr>
                      <wps:wsp>
                        <wps:cNvPr id="1150736226" name="Freeform 13"/>
                        <wps:cNvSpPr/>
                        <wps:spPr bwMode="auto">
                          <a:xfrm>
                            <a:off x="1080" y="115"/>
                            <a:ext cx="10" cy="39"/>
                          </a:xfrm>
                          <a:custGeom>
                            <a:avLst/>
                            <a:gdLst>
                              <a:gd name="T0" fmla="+- 0 1090 1080"/>
                              <a:gd name="T1" fmla="*/ T0 w 10"/>
                              <a:gd name="T2" fmla="+- 0 116 116"/>
                              <a:gd name="T3" fmla="*/ 116 h 39"/>
                              <a:gd name="T4" fmla="+- 0 1080 1080"/>
                              <a:gd name="T5" fmla="*/ T4 w 10"/>
                              <a:gd name="T6" fmla="+- 0 116 116"/>
                              <a:gd name="T7" fmla="*/ 116 h 39"/>
                              <a:gd name="T8" fmla="+- 0 1080 1080"/>
                              <a:gd name="T9" fmla="*/ T8 w 10"/>
                              <a:gd name="T10" fmla="+- 0 125 116"/>
                              <a:gd name="T11" fmla="*/ 125 h 39"/>
                              <a:gd name="T12" fmla="+- 0 1080 1080"/>
                              <a:gd name="T13" fmla="*/ T12 w 10"/>
                              <a:gd name="T14" fmla="+- 0 154 116"/>
                              <a:gd name="T15" fmla="*/ 154 h 39"/>
                              <a:gd name="T16" fmla="+- 0 1090 1080"/>
                              <a:gd name="T17" fmla="*/ T16 w 10"/>
                              <a:gd name="T18" fmla="+- 0 154 116"/>
                              <a:gd name="T19" fmla="*/ 154 h 39"/>
                              <a:gd name="T20" fmla="+- 0 1090 1080"/>
                              <a:gd name="T21" fmla="*/ T20 w 10"/>
                              <a:gd name="T22" fmla="+- 0 125 116"/>
                              <a:gd name="T23" fmla="*/ 125 h 39"/>
                              <a:gd name="T24" fmla="+- 0 1090 1080"/>
                              <a:gd name="T25" fmla="*/ T24 w 10"/>
                              <a:gd name="T26" fmla="+- 0 116 116"/>
                              <a:gd name="T27" fmla="*/ 116 h 39"/>
                            </a:gdLst>
                            <a:ahLst/>
                            <a:cxnLst>
                              <a:cxn ang="0">
                                <a:pos x="T1" y="T3"/>
                              </a:cxn>
                              <a:cxn ang="0">
                                <a:pos x="T5" y="T7"/>
                              </a:cxn>
                              <a:cxn ang="0">
                                <a:pos x="T9" y="T11"/>
                              </a:cxn>
                              <a:cxn ang="0">
                                <a:pos x="T13" y="T15"/>
                              </a:cxn>
                              <a:cxn ang="0">
                                <a:pos x="T17" y="T19"/>
                              </a:cxn>
                              <a:cxn ang="0">
                                <a:pos x="T21" y="T23"/>
                              </a:cxn>
                              <a:cxn ang="0">
                                <a:pos x="T25" y="T27"/>
                              </a:cxn>
                            </a:cxnLst>
                            <a:rect l="0" t="0" r="r" b="b"/>
                            <a:pathLst>
                              <a:path w="10" h="39">
                                <a:moveTo>
                                  <a:pt x="10" y="0"/>
                                </a:moveTo>
                                <a:lnTo>
                                  <a:pt x="0" y="0"/>
                                </a:lnTo>
                                <a:lnTo>
                                  <a:pt x="0" y="9"/>
                                </a:lnTo>
                                <a:lnTo>
                                  <a:pt x="0" y="38"/>
                                </a:lnTo>
                                <a:lnTo>
                                  <a:pt x="10" y="38"/>
                                </a:lnTo>
                                <a:lnTo>
                                  <a:pt x="10" y="9"/>
                                </a:lnTo>
                                <a:lnTo>
                                  <a:pt x="10" y="0"/>
                                </a:lnTo>
                              </a:path>
                            </a:pathLst>
                          </a:custGeom>
                          <a:solidFill>
                            <a:srgbClr val="000000"/>
                          </a:solidFill>
                          <a:ln>
                            <a:noFill/>
                          </a:ln>
                        </wps:spPr>
                        <wps:bodyPr rot="0" vert="horz" wrap="square" lIns="91440" tIns="45720" rIns="91440" bIns="45720" anchor="t" anchorCtr="0" upright="1">
                          <a:noAutofit/>
                        </wps:bodyPr>
                      </wps:wsp>
                      <wps:wsp>
                        <wps:cNvPr id="166617880" name="Line 14"/>
                        <wps:cNvCnPr>
                          <a:cxnSpLocks noChangeShapeType="1"/>
                        </wps:cNvCnPr>
                        <wps:spPr bwMode="auto">
                          <a:xfrm>
                            <a:off x="1090" y="121"/>
                            <a:ext cx="9729" cy="0"/>
                          </a:xfrm>
                          <a:prstGeom prst="line">
                            <a:avLst/>
                          </a:prstGeom>
                          <a:noFill/>
                          <a:ln w="6096">
                            <a:solidFill>
                              <a:srgbClr val="000000"/>
                            </a:solidFill>
                            <a:round/>
                          </a:ln>
                        </wps:spPr>
                        <wps:bodyPr/>
                      </wps:wsp>
                      <wps:wsp>
                        <wps:cNvPr id="177741404" name="Freeform 15"/>
                        <wps:cNvSpPr/>
                        <wps:spPr bwMode="auto">
                          <a:xfrm>
                            <a:off x="10818" y="115"/>
                            <a:ext cx="10" cy="39"/>
                          </a:xfrm>
                          <a:custGeom>
                            <a:avLst/>
                            <a:gdLst>
                              <a:gd name="T0" fmla="+- 0 10828 10819"/>
                              <a:gd name="T1" fmla="*/ T0 w 10"/>
                              <a:gd name="T2" fmla="+- 0 116 116"/>
                              <a:gd name="T3" fmla="*/ 116 h 39"/>
                              <a:gd name="T4" fmla="+- 0 10819 10819"/>
                              <a:gd name="T5" fmla="*/ T4 w 10"/>
                              <a:gd name="T6" fmla="+- 0 116 116"/>
                              <a:gd name="T7" fmla="*/ 116 h 39"/>
                              <a:gd name="T8" fmla="+- 0 10819 10819"/>
                              <a:gd name="T9" fmla="*/ T8 w 10"/>
                              <a:gd name="T10" fmla="+- 0 125 116"/>
                              <a:gd name="T11" fmla="*/ 125 h 39"/>
                              <a:gd name="T12" fmla="+- 0 10819 10819"/>
                              <a:gd name="T13" fmla="*/ T12 w 10"/>
                              <a:gd name="T14" fmla="+- 0 154 116"/>
                              <a:gd name="T15" fmla="*/ 154 h 39"/>
                              <a:gd name="T16" fmla="+- 0 10828 10819"/>
                              <a:gd name="T17" fmla="*/ T16 w 10"/>
                              <a:gd name="T18" fmla="+- 0 154 116"/>
                              <a:gd name="T19" fmla="*/ 154 h 39"/>
                              <a:gd name="T20" fmla="+- 0 10828 10819"/>
                              <a:gd name="T21" fmla="*/ T20 w 10"/>
                              <a:gd name="T22" fmla="+- 0 125 116"/>
                              <a:gd name="T23" fmla="*/ 125 h 39"/>
                              <a:gd name="T24" fmla="+- 0 10828 10819"/>
                              <a:gd name="T25" fmla="*/ T24 w 10"/>
                              <a:gd name="T26" fmla="+- 0 116 116"/>
                              <a:gd name="T27" fmla="*/ 116 h 39"/>
                            </a:gdLst>
                            <a:ahLst/>
                            <a:cxnLst>
                              <a:cxn ang="0">
                                <a:pos x="T1" y="T3"/>
                              </a:cxn>
                              <a:cxn ang="0">
                                <a:pos x="T5" y="T7"/>
                              </a:cxn>
                              <a:cxn ang="0">
                                <a:pos x="T9" y="T11"/>
                              </a:cxn>
                              <a:cxn ang="0">
                                <a:pos x="T13" y="T15"/>
                              </a:cxn>
                              <a:cxn ang="0">
                                <a:pos x="T17" y="T19"/>
                              </a:cxn>
                              <a:cxn ang="0">
                                <a:pos x="T21" y="T23"/>
                              </a:cxn>
                              <a:cxn ang="0">
                                <a:pos x="T25" y="T27"/>
                              </a:cxn>
                            </a:cxnLst>
                            <a:rect l="0" t="0" r="r" b="b"/>
                            <a:pathLst>
                              <a:path w="10" h="39">
                                <a:moveTo>
                                  <a:pt x="9" y="0"/>
                                </a:moveTo>
                                <a:lnTo>
                                  <a:pt x="0" y="0"/>
                                </a:lnTo>
                                <a:lnTo>
                                  <a:pt x="0" y="9"/>
                                </a:lnTo>
                                <a:lnTo>
                                  <a:pt x="0" y="38"/>
                                </a:lnTo>
                                <a:lnTo>
                                  <a:pt x="9" y="38"/>
                                </a:lnTo>
                                <a:lnTo>
                                  <a:pt x="9" y="9"/>
                                </a:lnTo>
                                <a:lnTo>
                                  <a:pt x="9" y="0"/>
                                </a:lnTo>
                              </a:path>
                            </a:pathLst>
                          </a:custGeom>
                          <a:solidFill>
                            <a:srgbClr val="000000"/>
                          </a:solidFill>
                          <a:ln>
                            <a:noFill/>
                          </a:ln>
                        </wps:spPr>
                        <wps:bodyPr rot="0" vert="horz" wrap="square" lIns="91440" tIns="45720" rIns="91440" bIns="45720" anchor="t" anchorCtr="0" upright="1">
                          <a:noAutofit/>
                        </wps:bodyPr>
                      </wps:wsp>
                      <wps:wsp>
                        <wps:cNvPr id="1258895760" name="Line 16"/>
                        <wps:cNvCnPr>
                          <a:cxnSpLocks noChangeShapeType="1"/>
                        </wps:cNvCnPr>
                        <wps:spPr bwMode="auto">
                          <a:xfrm>
                            <a:off x="1090" y="627"/>
                            <a:ext cx="9729" cy="0"/>
                          </a:xfrm>
                          <a:prstGeom prst="line">
                            <a:avLst/>
                          </a:prstGeom>
                          <a:noFill/>
                          <a:ln w="6096">
                            <a:solidFill>
                              <a:srgbClr val="000000"/>
                            </a:solidFill>
                            <a:round/>
                          </a:ln>
                        </wps:spPr>
                        <wps:bodyPr/>
                      </wps:wsp>
                      <wps:wsp>
                        <wps:cNvPr id="1359853183" name="Line 17"/>
                        <wps:cNvCnPr>
                          <a:cxnSpLocks noChangeShapeType="1"/>
                        </wps:cNvCnPr>
                        <wps:spPr bwMode="auto">
                          <a:xfrm>
                            <a:off x="1085" y="154"/>
                            <a:ext cx="0" cy="10175"/>
                          </a:xfrm>
                          <a:prstGeom prst="line">
                            <a:avLst/>
                          </a:prstGeom>
                          <a:noFill/>
                          <a:ln w="6096">
                            <a:solidFill>
                              <a:srgbClr val="000000"/>
                            </a:solidFill>
                            <a:round/>
                          </a:ln>
                        </wps:spPr>
                        <wps:bodyPr/>
                      </wps:wsp>
                      <wps:wsp>
                        <wps:cNvPr id="695561571" name="Rectangle 18"/>
                        <wps:cNvSpPr>
                          <a:spLocks noChangeArrowheads="1"/>
                        </wps:cNvSpPr>
                        <wps:spPr bwMode="auto">
                          <a:xfrm>
                            <a:off x="1080" y="10329"/>
                            <a:ext cx="10" cy="10"/>
                          </a:xfrm>
                          <a:prstGeom prst="rect">
                            <a:avLst/>
                          </a:prstGeom>
                          <a:solidFill>
                            <a:srgbClr val="000000"/>
                          </a:solidFill>
                          <a:ln>
                            <a:noFill/>
                          </a:ln>
                        </wps:spPr>
                        <wps:bodyPr rot="0" vert="horz" wrap="square" lIns="91440" tIns="45720" rIns="91440" bIns="45720" anchor="t" anchorCtr="0" upright="1">
                          <a:noAutofit/>
                        </wps:bodyPr>
                      </wps:wsp>
                      <wps:wsp>
                        <wps:cNvPr id="877411490" name="Line 19"/>
                        <wps:cNvCnPr>
                          <a:cxnSpLocks noChangeShapeType="1"/>
                        </wps:cNvCnPr>
                        <wps:spPr bwMode="auto">
                          <a:xfrm>
                            <a:off x="1090" y="10334"/>
                            <a:ext cx="9729" cy="0"/>
                          </a:xfrm>
                          <a:prstGeom prst="line">
                            <a:avLst/>
                          </a:prstGeom>
                          <a:noFill/>
                          <a:ln w="6096">
                            <a:solidFill>
                              <a:srgbClr val="000000"/>
                            </a:solidFill>
                            <a:round/>
                          </a:ln>
                        </wps:spPr>
                        <wps:bodyPr/>
                      </wps:wsp>
                      <wps:wsp>
                        <wps:cNvPr id="1893803844" name="Line 20"/>
                        <wps:cNvCnPr>
                          <a:cxnSpLocks noChangeShapeType="1"/>
                        </wps:cNvCnPr>
                        <wps:spPr bwMode="auto">
                          <a:xfrm>
                            <a:off x="10824" y="154"/>
                            <a:ext cx="0" cy="10175"/>
                          </a:xfrm>
                          <a:prstGeom prst="line">
                            <a:avLst/>
                          </a:prstGeom>
                          <a:noFill/>
                          <a:ln w="6096">
                            <a:solidFill>
                              <a:srgbClr val="000000"/>
                            </a:solidFill>
                            <a:round/>
                          </a:ln>
                        </wps:spPr>
                        <wps:bodyPr/>
                      </wps:wsp>
                      <wps:wsp>
                        <wps:cNvPr id="1124756912" name="Rectangle 21"/>
                        <wps:cNvSpPr>
                          <a:spLocks noChangeArrowheads="1"/>
                        </wps:cNvSpPr>
                        <wps:spPr bwMode="auto">
                          <a:xfrm>
                            <a:off x="10818" y="10329"/>
                            <a:ext cx="10" cy="1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组合 2" o:spid="_x0000_s1026" o:spt="203" style="position:absolute;left:0pt;margin-left:54pt;margin-top:5.8pt;height:561.65pt;width:487.45pt;mso-position-horizontal-relative:page;z-index:-251656192;mso-width-relative:page;mso-height-relative:page;" coordorigin="1080,116" coordsize="9749,10224" o:gfxdata="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&#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">
                <o:lock v:ext="edit" aspectratio="f"/>
                <v:shape id="Freeform 13" o:spid="_x0000_s1026" o:spt="100" style="position:absolute;left:1080;top:115;height:39;width:10;" fillcolor="#000000" filled="t" stroked="f" coordsize="10,39" o:gfxdata="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MY4&#10;WsEAAADjAAAADwAAAAAAAAABACAAAAAiAAAAZHJzL2Rvd25yZXYueG1sUEsBAhQAFAAAAAgAh07i&#10;QDMvBZ47AAAAOQAAABAAAAAAAAAAAQAgAAAAEAEAAGRycy9zaGFwZXhtbC54bWxQSwUGAAAAAAYA&#10;BgBbAQAAugMAAAAA&#10;" path="m10,0l0,0,0,9,0,38,10,38,10,9,10,0e">
                  <v:path o:connectlocs="10,116;0,116;0,125;0,154;10,154;10,125;10,116" o:connectangles="0,0,0,0,0,0,0"/>
                  <v:fill on="t" focussize="0,0"/>
                  <v:stroke on="f"/>
                  <v:imagedata o:title=""/>
                  <o:lock v:ext="edit" aspectratio="f"/>
                </v:shape>
                <v:line id="Line 14" o:spid="_x0000_s1026" o:spt="20" style="position:absolute;left:1090;top:121;height:0;width:9729;" filled="f" stroked="t" coordsize="21600,21600" o:gfxdata="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PxWU&#10;wAAAAOIAAAAPAAAAAAAAAAEAIAAAACIAAABkcnMvZG93bnJldi54bWxQSwECFAAUAAAACACHTuJA&#10;My8FnjsAAAA5AAAAEAAAAAAAAAABACAAAAAPAQAAZHJzL3NoYXBleG1sLnhtbFBLBQYAAAAABgAG&#10;AFsBAAC5AwAAAAA=&#10;">
                  <v:fill on="f" focussize="0,0"/>
                  <v:stroke weight="0.48pt" color="#000000" joinstyle="round"/>
                  <v:imagedata o:title=""/>
                  <o:lock v:ext="edit" aspectratio="f"/>
                </v:line>
                <v:shape id="Freeform 15" o:spid="_x0000_s1026" o:spt="100" style="position:absolute;left:10818;top:115;height:39;width:10;" fillcolor="#000000" filled="t" stroked="f" coordsize="10,39" o:gfxdata="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eIb&#10;scEAAADiAAAADwAAAAAAAAABACAAAAAiAAAAZHJzL2Rvd25yZXYueG1sUEsBAhQAFAAAAAgAh07i&#10;QDMvBZ47AAAAOQAAABAAAAAAAAAAAQAgAAAAEAEAAGRycy9zaGFwZXhtbC54bWxQSwUGAAAAAAYA&#10;BgBbAQAAugMAAAAA&#10;" path="m9,0l0,0,0,9,0,38,9,38,9,9,9,0e">
                  <v:path o:connectlocs="9,116;0,116;0,125;0,154;9,154;9,125;9,116" o:connectangles="0,0,0,0,0,0,0"/>
                  <v:fill on="t" focussize="0,0"/>
                  <v:stroke on="f"/>
                  <v:imagedata o:title=""/>
                  <o:lock v:ext="edit" aspectratio="f"/>
                </v:shape>
                <v:line id="Line 16" o:spid="_x0000_s1026" o:spt="20" style="position:absolute;left:1090;top:627;height:0;width:9729;" filled="f" stroked="t" coordsize="21600,21600" o:gfxdata="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Ew6pOvFAAAA4wAAAA8AAAAAAAAAAQAgAAAAIgAAAGRycy9kb3ducmV2LnhtbFBLAQIUABQAAAAI&#10;AIdO4kAzLwWeOwAAADkAAAAQAAAAAAAAAAEAIAAAABQBAABkcnMvc2hhcGV4bWwueG1sUEsFBgAA&#10;AAAGAAYAWwEAAL4DAAAAAA==&#10;">
                  <v:fill on="f" focussize="0,0"/>
                  <v:stroke weight="0.48pt" color="#000000" joinstyle="round"/>
                  <v:imagedata o:title=""/>
                  <o:lock v:ext="edit" aspectratio="f"/>
                </v:line>
                <v:line id="Line 17" o:spid="_x0000_s1026" o:spt="20" style="position:absolute;left:1085;top:154;height:10175;width:0;" filled="f" stroked="t" coordsize="21600,21600" o:gfxdata="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cl&#10;85HCAAAA4wAAAA8AAAAAAAAAAQAgAAAAIgAAAGRycy9kb3ducmV2LnhtbFBLAQIUABQAAAAIAIdO&#10;4kAzLwWeOwAAADkAAAAQAAAAAAAAAAEAIAAAABEBAABkcnMvc2hhcGV4bWwueG1sUEsFBgAAAAAG&#10;AAYAWwEAALsDAAAAAA==&#10;">
                  <v:fill on="f" focussize="0,0"/>
                  <v:stroke weight="0.48pt" color="#000000" joinstyle="round"/>
                  <v:imagedata o:title=""/>
                  <o:lock v:ext="edit" aspectratio="f"/>
                </v:line>
                <v:rect id="Rectangle 18" o:spid="_x0000_s1026" o:spt="1" style="position:absolute;left:1080;top:10329;height:10;width:10;" fillcolor="#000000" filled="t" stroked="f" coordsize="21600,21600" o:gfxdata="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z4TR3FAAAA4gAAAA8AAAAAAAAAAQAgAAAAIgAAAGRycy9kb3ducmV2LnhtbFBLAQIUABQAAAAI&#10;AIdO4kAzLwWeOwAAADkAAAAQAAAAAAAAAAEAIAAAABQBAABkcnMvc2hhcGV4bWwueG1sUEsFBgAA&#10;AAAGAAYAWwEAAL4DAAAAAA==&#10;">
                  <v:fill on="t" focussize="0,0"/>
                  <v:stroke on="f"/>
                  <v:imagedata o:title=""/>
                  <o:lock v:ext="edit" aspectratio="f"/>
                </v:rect>
                <v:line id="Line 19" o:spid="_x0000_s1026" o:spt="20" style="position:absolute;left:1090;top:10334;height:0;width:9729;" filled="f" stroked="t" coordsize="21600,21600" o:gfxdata="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Do&#10;vFXCAAAA4gAAAA8AAAAAAAAAAQAgAAAAIgAAAGRycy9kb3ducmV2LnhtbFBLAQIUABQAAAAIAIdO&#10;4kAzLwWeOwAAADkAAAAQAAAAAAAAAAEAIAAAABEBAABkcnMvc2hhcGV4bWwueG1sUEsFBgAAAAAG&#10;AAYAWwEAALsDAAAAAA==&#10;">
                  <v:fill on="f" focussize="0,0"/>
                  <v:stroke weight="0.48pt" color="#000000" joinstyle="round"/>
                  <v:imagedata o:title=""/>
                  <o:lock v:ext="edit" aspectratio="f"/>
                </v:line>
                <v:line id="Line 20" o:spid="_x0000_s1026" o:spt="20" style="position:absolute;left:10824;top:154;height:10175;width:0;" filled="f" stroked="t" coordsize="21600,21600" o:gfxdata="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Rng&#10;a8EAAADjAAAADwAAAAAAAAABACAAAAAiAAAAZHJzL2Rvd25yZXYueG1sUEsBAhQAFAAAAAgAh07i&#10;QDMvBZ47AAAAOQAAABAAAAAAAAAAAQAgAAAAEAEAAGRycy9zaGFwZXhtbC54bWxQSwUGAAAAAAYA&#10;BgBbAQAAugMAAAAA&#10;">
                  <v:fill on="f" focussize="0,0"/>
                  <v:stroke weight="0.48pt" color="#000000" joinstyle="round"/>
                  <v:imagedata o:title=""/>
                  <o:lock v:ext="edit" aspectratio="f"/>
                </v:line>
                <v:rect id="Rectangle 21" o:spid="_x0000_s1026" o:spt="1" style="position:absolute;left:10818;top:10329;height:10;width:10;" fillcolor="#000000" filled="t" stroked="f" coordsize="21600,21600" o:gfxdata="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YA&#10;WTnCAAAA4wAAAA8AAAAAAAAAAQAgAAAAIgAAAGRycy9kb3ducmV2LnhtbFBLAQIUABQAAAAIAIdO&#10;4kAzLwWeOwAAADkAAAAQAAAAAAAAAAEAIAAAABEBAABkcnMvc2hhcGV4bWwueG1sUEsFBgAAAAAG&#10;AAYAWwEAALsDAAAAAA==&#10;">
                  <v:fill on="t" focussize="0,0"/>
                  <v:stroke on="f"/>
                  <v:imagedata o:title=""/>
                  <o:lock v:ext="edit" aspectratio="f"/>
                </v:rect>
              </v:group>
            </w:pict>
          </mc:Fallback>
        </mc:AlternateContent>
      </w:r>
      <w:r>
        <w:rPr>
          <w:color w:val="auto"/>
          <w:sz w:val="24"/>
          <w:highlight w:val="none"/>
          <w:lang w:eastAsia="zh-CN"/>
        </w:rPr>
        <w:t>村庄建设用地负面清单</w:t>
      </w:r>
    </w:p>
    <w:p w14:paraId="3CACE066">
      <w:pPr>
        <w:spacing w:before="197" w:line="343" w:lineRule="auto"/>
        <w:ind w:left="133" w:right="510"/>
        <w:rPr>
          <w:rFonts w:hint="eastAsia"/>
          <w:color w:val="auto"/>
          <w:sz w:val="24"/>
          <w:highlight w:val="none"/>
          <w:lang w:eastAsia="zh-CN"/>
        </w:rPr>
      </w:pPr>
      <w:r>
        <w:rPr>
          <w:rFonts w:hint="eastAsia" w:ascii="Times New Roman" w:eastAsia="Times New Roman"/>
          <w:color w:val="auto"/>
          <w:sz w:val="24"/>
          <w:highlight w:val="none"/>
          <w:lang w:eastAsia="zh-CN"/>
        </w:rPr>
        <w:t>1.</w:t>
      </w:r>
      <w:r>
        <w:rPr>
          <w:color w:val="auto"/>
          <w:sz w:val="24"/>
          <w:highlight w:val="none"/>
          <w:lang w:eastAsia="zh-CN"/>
        </w:rPr>
        <w:t>永久基本农田严禁占用情形：严禁占用永久基本农田挖湖造景、建设绿化带；严禁新增占用永久基本农田建设畜禽养殖设施、水产养殖设施和破坏耕作层的种植业设施；严禁任何单位和个人在永久基本农田上建窑、建房、建坟、挖砂、采石、取土、堆放固体废弃物或者进行其他破坏永久基本农田的活动。</w:t>
      </w:r>
    </w:p>
    <w:p w14:paraId="4F2970D6">
      <w:pPr>
        <w:spacing w:line="340" w:lineRule="auto"/>
        <w:ind w:left="133" w:right="630"/>
        <w:rPr>
          <w:rFonts w:hint="eastAsia"/>
          <w:color w:val="auto"/>
          <w:sz w:val="24"/>
          <w:highlight w:val="none"/>
          <w:lang w:eastAsia="zh-CN"/>
        </w:rPr>
      </w:pPr>
      <w:r>
        <w:rPr>
          <w:rFonts w:hint="eastAsia" w:ascii="Times New Roman" w:eastAsia="Times New Roman"/>
          <w:color w:val="auto"/>
          <w:sz w:val="24"/>
          <w:highlight w:val="none"/>
          <w:lang w:eastAsia="zh-CN"/>
        </w:rPr>
        <w:t>2.</w:t>
      </w:r>
      <w:r>
        <w:rPr>
          <w:color w:val="auto"/>
          <w:sz w:val="24"/>
          <w:highlight w:val="none"/>
          <w:lang w:eastAsia="zh-CN"/>
        </w:rPr>
        <w:t>禁止占用耕地建窑、建坟或者擅自在耕地上建房、挖砂、采石、采矿、取土等。禁止占用永久基本农田发展林果业和挖塘养鱼。禁止任何单位和个人闲置、荒芜耕地。</w:t>
      </w:r>
    </w:p>
    <w:p w14:paraId="03DA9C09">
      <w:pPr>
        <w:spacing w:line="340" w:lineRule="auto"/>
        <w:ind w:left="133" w:right="630"/>
        <w:rPr>
          <w:rFonts w:hint="eastAsia"/>
          <w:color w:val="auto"/>
          <w:sz w:val="24"/>
          <w:highlight w:val="none"/>
          <w:lang w:eastAsia="zh-CN"/>
        </w:rPr>
      </w:pPr>
      <w:r>
        <w:rPr>
          <w:rFonts w:hint="eastAsia" w:ascii="Times New Roman" w:eastAsia="Times New Roman"/>
          <w:color w:val="auto"/>
          <w:sz w:val="24"/>
          <w:highlight w:val="none"/>
          <w:lang w:eastAsia="zh-CN"/>
        </w:rPr>
        <w:t>3.</w:t>
      </w:r>
      <w:r>
        <w:rPr>
          <w:color w:val="auto"/>
          <w:sz w:val="24"/>
          <w:highlight w:val="none"/>
          <w:lang w:eastAsia="zh-CN"/>
        </w:rPr>
        <w:t>严禁以设施农业为名占用耕地违法违规建设与农业发展无关的设施；严禁在农业大棚内违法违规占用耕地建设住宅、餐饮、娱乐等非农设施。</w:t>
      </w:r>
    </w:p>
    <w:p w14:paraId="74A0B406">
      <w:pPr>
        <w:spacing w:before="1" w:line="343" w:lineRule="auto"/>
        <w:ind w:left="133" w:right="510"/>
        <w:rPr>
          <w:rFonts w:hint="eastAsia"/>
          <w:color w:val="auto"/>
          <w:sz w:val="24"/>
          <w:highlight w:val="none"/>
          <w:lang w:eastAsia="zh-CN"/>
        </w:rPr>
      </w:pPr>
      <w:r>
        <w:rPr>
          <w:rFonts w:hint="eastAsia" w:ascii="Times New Roman" w:hAnsi="Times New Roman" w:eastAsia="Times New Roman"/>
          <w:color w:val="auto"/>
          <w:sz w:val="24"/>
          <w:highlight w:val="none"/>
          <w:lang w:eastAsia="zh-CN"/>
        </w:rPr>
        <w:t>4.</w:t>
      </w:r>
      <w:r>
        <w:rPr>
          <w:color w:val="auto"/>
          <w:sz w:val="24"/>
          <w:highlight w:val="none"/>
          <w:lang w:eastAsia="zh-CN"/>
        </w:rPr>
        <w:t>农村乱占耕地建房“八不准”：不准占用永久基本农田建房；不准强占多占耕地建房； 不准买卖、流转耕地违法建房；不准在承包耕地上违法建房；不准巧立名目违法占用耕地建房；不准违反“一户一宅”规定占用耕地建房；不准非法出售占用耕地建的房屋；不准违法审批占用耕地建房。</w:t>
      </w:r>
    </w:p>
    <w:p w14:paraId="54273135">
      <w:pPr>
        <w:spacing w:line="343" w:lineRule="auto"/>
        <w:ind w:left="133" w:right="630"/>
        <w:rPr>
          <w:rFonts w:hint="eastAsia"/>
          <w:color w:val="auto"/>
          <w:sz w:val="24"/>
          <w:highlight w:val="none"/>
          <w:lang w:eastAsia="zh-CN"/>
        </w:rPr>
      </w:pPr>
      <w:r>
        <w:rPr>
          <w:rFonts w:hint="eastAsia" w:ascii="Times New Roman" w:eastAsia="Times New Roman"/>
          <w:color w:val="auto"/>
          <w:sz w:val="24"/>
          <w:highlight w:val="none"/>
          <w:lang w:eastAsia="zh-CN"/>
        </w:rPr>
        <w:t>5.</w:t>
      </w:r>
      <w:r>
        <w:rPr>
          <w:color w:val="auto"/>
          <w:sz w:val="24"/>
          <w:highlight w:val="none"/>
          <w:lang w:eastAsia="zh-CN"/>
        </w:rPr>
        <w:t>农村产业融合发展用地不得用于商品住宅、别墅、酒店、公寓等房地产开发，不得擅自改变用途或分割转让转租。</w:t>
      </w:r>
    </w:p>
    <w:p w14:paraId="7E978ECC">
      <w:pPr>
        <w:spacing w:line="340" w:lineRule="auto"/>
        <w:ind w:left="133" w:right="510"/>
        <w:rPr>
          <w:rFonts w:hint="eastAsia"/>
          <w:color w:val="auto"/>
          <w:sz w:val="24"/>
          <w:highlight w:val="none"/>
          <w:lang w:eastAsia="zh-CN"/>
        </w:rPr>
      </w:pPr>
      <w:r>
        <w:rPr>
          <w:rFonts w:hint="eastAsia" w:ascii="Times New Roman" w:eastAsia="Times New Roman"/>
          <w:color w:val="auto"/>
          <w:sz w:val="24"/>
          <w:highlight w:val="none"/>
          <w:lang w:eastAsia="zh-CN"/>
        </w:rPr>
        <w:t>6.</w:t>
      </w:r>
      <w:r>
        <w:rPr>
          <w:color w:val="auto"/>
          <w:sz w:val="24"/>
          <w:highlight w:val="none"/>
          <w:lang w:eastAsia="zh-CN"/>
        </w:rPr>
        <w:t>严禁城镇居民到农村购买宅基地，严禁下乡利用农村宅基地建设别墅大院和私人会馆。严禁借流转之名违法违规圈占、买卖宅基地。严禁随意撤并村庄搞大社区、违背农民意愿大拆大建。</w:t>
      </w:r>
    </w:p>
    <w:p w14:paraId="174E326E">
      <w:pPr>
        <w:spacing w:line="340" w:lineRule="auto"/>
        <w:ind w:left="133" w:right="630"/>
        <w:rPr>
          <w:rFonts w:hint="eastAsia"/>
          <w:color w:val="auto"/>
          <w:sz w:val="24"/>
          <w:highlight w:val="none"/>
          <w:lang w:eastAsia="zh-CN"/>
        </w:rPr>
      </w:pPr>
      <w:r>
        <w:rPr>
          <w:rFonts w:hint="eastAsia" w:ascii="Times New Roman" w:eastAsia="Times New Roman"/>
          <w:color w:val="auto"/>
          <w:sz w:val="24"/>
          <w:highlight w:val="none"/>
          <w:lang w:eastAsia="zh-CN"/>
        </w:rPr>
        <w:t>7.</w:t>
      </w:r>
      <w:r>
        <w:rPr>
          <w:color w:val="auto"/>
          <w:sz w:val="24"/>
          <w:highlight w:val="none"/>
          <w:lang w:eastAsia="zh-CN"/>
        </w:rPr>
        <w:t>禁止违背农村村民意愿强制流转宅基地，禁止违法收回农村村民依法取得的宅基地，禁止以退出宅基地作为农村村民进城落户的条件，不得强制农民搬迁和上楼居住。</w:t>
      </w:r>
    </w:p>
    <w:p w14:paraId="2DF1656D">
      <w:pPr>
        <w:ind w:left="133"/>
        <w:rPr>
          <w:rFonts w:hint="eastAsia"/>
          <w:color w:val="auto"/>
          <w:sz w:val="24"/>
          <w:highlight w:val="none"/>
          <w:lang w:eastAsia="zh-CN"/>
        </w:rPr>
      </w:pPr>
      <w:r>
        <w:rPr>
          <w:rFonts w:hint="eastAsia" w:ascii="Times New Roman" w:eastAsia="Times New Roman"/>
          <w:color w:val="auto"/>
          <w:sz w:val="24"/>
          <w:highlight w:val="none"/>
          <w:lang w:eastAsia="zh-CN"/>
        </w:rPr>
        <w:t>8.</w:t>
      </w:r>
      <w:r>
        <w:rPr>
          <w:color w:val="auto"/>
          <w:sz w:val="24"/>
          <w:highlight w:val="none"/>
          <w:lang w:eastAsia="zh-CN"/>
        </w:rPr>
        <w:t>禁止毁坏森林、草原开垦耕地，禁止围湖造田和侵占江河滩地。</w:t>
      </w:r>
    </w:p>
    <w:p w14:paraId="20CCDAAB">
      <w:pPr>
        <w:spacing w:before="130" w:line="340" w:lineRule="auto"/>
        <w:ind w:left="133" w:right="630"/>
        <w:rPr>
          <w:rFonts w:hint="eastAsia"/>
          <w:color w:val="auto"/>
          <w:sz w:val="24"/>
          <w:highlight w:val="none"/>
          <w:lang w:eastAsia="zh-CN"/>
        </w:rPr>
      </w:pPr>
      <w:r>
        <w:rPr>
          <w:rFonts w:hint="eastAsia" w:ascii="Times New Roman" w:eastAsia="Times New Roman"/>
          <w:color w:val="auto"/>
          <w:sz w:val="24"/>
          <w:highlight w:val="none"/>
          <w:lang w:eastAsia="zh-CN"/>
        </w:rPr>
        <w:t>9.</w:t>
      </w:r>
      <w:r>
        <w:rPr>
          <w:color w:val="auto"/>
          <w:sz w:val="24"/>
          <w:highlight w:val="none"/>
          <w:lang w:eastAsia="zh-CN"/>
        </w:rPr>
        <w:t>严禁违规占用耕地和违背自然规律绿化造林、挖湖造景，严格限制林区耕地湿地等占用和过度开发。</w:t>
      </w:r>
    </w:p>
    <w:p w14:paraId="7E918665">
      <w:pPr>
        <w:spacing w:line="340" w:lineRule="auto"/>
        <w:rPr>
          <w:rFonts w:hint="default"/>
          <w:color w:val="auto"/>
          <w:sz w:val="24"/>
          <w:highlight w:val="none"/>
          <w:lang w:val="en-US" w:eastAsia="zh-CN"/>
        </w:rPr>
        <w:sectPr>
          <w:pgSz w:w="11910" w:h="16840"/>
          <w:pgMar w:top="1418" w:right="851" w:bottom="1418" w:left="1134" w:header="0" w:footer="603" w:gutter="0"/>
          <w:pgNumType w:fmt="decimal"/>
          <w:cols w:space="720" w:num="1"/>
        </w:sectPr>
      </w:pPr>
      <w:r>
        <w:rPr>
          <w:rFonts w:hint="eastAsia"/>
          <w:color w:val="auto"/>
          <w:sz w:val="24"/>
          <w:highlight w:val="none"/>
          <w:lang w:val="en-US" w:eastAsia="zh-CN"/>
        </w:rPr>
        <w:t>10.</w:t>
      </w:r>
      <w:r>
        <w:rPr>
          <w:rFonts w:hint="default"/>
          <w:color w:val="auto"/>
          <w:sz w:val="24"/>
          <w:highlight w:val="none"/>
          <w:lang w:val="en-US" w:eastAsia="zh-CN"/>
        </w:rPr>
        <w:t>禁止砍伐、破坏古树名木</w:t>
      </w:r>
      <w:r>
        <w:rPr>
          <w:rFonts w:hint="eastAsia"/>
          <w:color w:val="auto"/>
          <w:sz w:val="24"/>
          <w:highlight w:val="none"/>
          <w:lang w:val="en-US" w:eastAsia="zh-CN"/>
        </w:rPr>
        <w:t>的行为。</w:t>
      </w:r>
    </w:p>
    <w:p w14:paraId="50C59B3B">
      <w:pPr>
        <w:pStyle w:val="5"/>
        <w:keepNext w:val="0"/>
        <w:keepLines w:val="0"/>
        <w:spacing w:before="0" w:after="0"/>
        <w:ind w:right="298"/>
        <w:jc w:val="center"/>
        <w:rPr>
          <w:rFonts w:hint="eastAsia" w:ascii="微软雅黑" w:hAnsi="微软雅黑" w:eastAsia="微软雅黑" w:cs="微软雅黑"/>
          <w:b/>
          <w:bCs/>
          <w:color w:val="auto"/>
          <w:sz w:val="30"/>
          <w:szCs w:val="30"/>
          <w:highlight w:val="none"/>
          <w:lang w:eastAsia="zh-CN"/>
        </w:rPr>
      </w:pPr>
      <w:bookmarkStart w:id="56" w:name="_bookmark37"/>
      <w:bookmarkEnd w:id="56"/>
      <w:r>
        <w:rPr>
          <w:rFonts w:ascii="微软雅黑" w:hAnsi="微软雅黑" w:eastAsia="微软雅黑" w:cs="微软雅黑"/>
          <w:b/>
          <w:bCs/>
          <w:color w:val="auto"/>
          <w:sz w:val="30"/>
          <w:szCs w:val="30"/>
          <w:highlight w:val="none"/>
          <w:lang w:eastAsia="zh-CN"/>
        </w:rPr>
        <w:t>附表四 产业项目准入负面清单</w:t>
      </w:r>
    </w:p>
    <w:p w14:paraId="47E0FE2D">
      <w:pPr>
        <w:pStyle w:val="11"/>
        <w:spacing w:before="5" w:after="1"/>
        <w:ind w:left="0"/>
        <w:rPr>
          <w:rFonts w:hint="eastAsia" w:ascii="微软雅黑"/>
          <w:b/>
          <w:color w:val="auto"/>
          <w:sz w:val="6"/>
          <w:highlight w:val="none"/>
          <w:lang w:eastAsia="zh-CN"/>
        </w:rPr>
      </w:pPr>
    </w:p>
    <w:tbl>
      <w:tblPr>
        <w:tblStyle w:val="4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6"/>
        <w:gridCol w:w="708"/>
        <w:gridCol w:w="708"/>
        <w:gridCol w:w="852"/>
        <w:gridCol w:w="1021"/>
        <w:gridCol w:w="851"/>
        <w:gridCol w:w="2850"/>
        <w:gridCol w:w="2333"/>
      </w:tblGrid>
      <w:tr w14:paraId="65AF4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416" w:type="dxa"/>
          </w:tcPr>
          <w:p w14:paraId="1D83D2BA">
            <w:pPr>
              <w:pStyle w:val="44"/>
              <w:spacing w:before="12"/>
              <w:jc w:val="left"/>
              <w:rPr>
                <w:rFonts w:hint="eastAsia" w:ascii="微软雅黑"/>
                <w:b/>
                <w:color w:val="auto"/>
                <w:sz w:val="15"/>
                <w:highlight w:val="none"/>
                <w:lang w:eastAsia="zh-CN"/>
              </w:rPr>
            </w:pPr>
          </w:p>
          <w:p w14:paraId="6537DCE5">
            <w:pPr>
              <w:pStyle w:val="44"/>
              <w:spacing w:line="148" w:lineRule="auto"/>
              <w:ind w:left="102" w:right="89"/>
              <w:jc w:val="left"/>
              <w:rPr>
                <w:rFonts w:hint="eastAsia" w:ascii="微软雅黑" w:eastAsia="微软雅黑"/>
                <w:b/>
                <w:color w:val="auto"/>
                <w:sz w:val="21"/>
                <w:highlight w:val="none"/>
              </w:rPr>
            </w:pPr>
            <w:r>
              <w:rPr>
                <w:rFonts w:hint="eastAsia" w:ascii="微软雅黑" w:eastAsia="微软雅黑"/>
                <w:b/>
                <w:color w:val="auto"/>
                <w:sz w:val="21"/>
                <w:highlight w:val="none"/>
              </w:rPr>
              <w:t>序号</w:t>
            </w:r>
          </w:p>
        </w:tc>
        <w:tc>
          <w:tcPr>
            <w:tcW w:w="708" w:type="dxa"/>
            <w:vAlign w:val="center"/>
          </w:tcPr>
          <w:p w14:paraId="2B22274B">
            <w:pPr>
              <w:pStyle w:val="44"/>
              <w:spacing w:line="257" w:lineRule="exact"/>
              <w:ind w:left="141"/>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门类</w:t>
            </w:r>
          </w:p>
          <w:p w14:paraId="584A2383">
            <w:pPr>
              <w:pStyle w:val="44"/>
              <w:spacing w:before="31" w:line="148" w:lineRule="auto"/>
              <w:ind w:left="141" w:right="26" w:hanging="106"/>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w:t>
            </w:r>
            <w:r>
              <w:rPr>
                <w:rFonts w:hint="eastAsia" w:ascii="微软雅黑" w:eastAsia="微软雅黑"/>
                <w:b/>
                <w:color w:val="auto"/>
                <w:spacing w:val="-9"/>
                <w:sz w:val="21"/>
                <w:szCs w:val="21"/>
                <w:highlight w:val="none"/>
              </w:rPr>
              <w:t>代码</w:t>
            </w:r>
            <w:r>
              <w:rPr>
                <w:rFonts w:hint="eastAsia" w:ascii="微软雅黑" w:eastAsia="微软雅黑"/>
                <w:b/>
                <w:color w:val="auto"/>
                <w:sz w:val="21"/>
                <w:szCs w:val="21"/>
                <w:highlight w:val="none"/>
              </w:rPr>
              <w:t>及名</w:t>
            </w:r>
          </w:p>
          <w:p w14:paraId="2F414C6E">
            <w:pPr>
              <w:pStyle w:val="44"/>
              <w:spacing w:line="228" w:lineRule="exact"/>
              <w:ind w:left="141"/>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称）</w:t>
            </w:r>
          </w:p>
        </w:tc>
        <w:tc>
          <w:tcPr>
            <w:tcW w:w="708" w:type="dxa"/>
            <w:vAlign w:val="center"/>
          </w:tcPr>
          <w:p w14:paraId="771DEAC1">
            <w:pPr>
              <w:pStyle w:val="44"/>
              <w:spacing w:line="257" w:lineRule="exact"/>
              <w:ind w:left="143"/>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大类</w:t>
            </w:r>
          </w:p>
          <w:p w14:paraId="51C3E34D">
            <w:pPr>
              <w:pStyle w:val="44"/>
              <w:spacing w:before="31" w:line="148" w:lineRule="auto"/>
              <w:ind w:left="143" w:right="24" w:hanging="106"/>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w:t>
            </w:r>
            <w:r>
              <w:rPr>
                <w:rFonts w:hint="eastAsia" w:ascii="微软雅黑" w:eastAsia="微软雅黑"/>
                <w:b/>
                <w:color w:val="auto"/>
                <w:spacing w:val="-9"/>
                <w:sz w:val="21"/>
                <w:szCs w:val="21"/>
                <w:highlight w:val="none"/>
              </w:rPr>
              <w:t>代码</w:t>
            </w:r>
            <w:r>
              <w:rPr>
                <w:rFonts w:hint="eastAsia" w:ascii="微软雅黑" w:eastAsia="微软雅黑"/>
                <w:b/>
                <w:color w:val="auto"/>
                <w:sz w:val="21"/>
                <w:szCs w:val="21"/>
                <w:highlight w:val="none"/>
              </w:rPr>
              <w:t>及名</w:t>
            </w:r>
          </w:p>
          <w:p w14:paraId="62F3DE1B">
            <w:pPr>
              <w:pStyle w:val="44"/>
              <w:spacing w:line="228" w:lineRule="exact"/>
              <w:ind w:left="143"/>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称）</w:t>
            </w:r>
          </w:p>
        </w:tc>
        <w:tc>
          <w:tcPr>
            <w:tcW w:w="852" w:type="dxa"/>
            <w:vAlign w:val="center"/>
          </w:tcPr>
          <w:p w14:paraId="409CA98B">
            <w:pPr>
              <w:pStyle w:val="44"/>
              <w:spacing w:line="257" w:lineRule="exact"/>
              <w:ind w:left="213"/>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中类</w:t>
            </w:r>
          </w:p>
          <w:p w14:paraId="55211D60">
            <w:pPr>
              <w:pStyle w:val="44"/>
              <w:spacing w:before="31" w:line="148" w:lineRule="auto"/>
              <w:ind w:left="213" w:right="100" w:hanging="106"/>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w:t>
            </w:r>
            <w:r>
              <w:rPr>
                <w:rFonts w:hint="eastAsia" w:ascii="微软雅黑" w:eastAsia="微软雅黑"/>
                <w:b/>
                <w:color w:val="auto"/>
                <w:spacing w:val="-10"/>
                <w:sz w:val="21"/>
                <w:szCs w:val="21"/>
                <w:highlight w:val="none"/>
              </w:rPr>
              <w:t>代码</w:t>
            </w:r>
            <w:r>
              <w:rPr>
                <w:rFonts w:hint="eastAsia" w:ascii="微软雅黑" w:eastAsia="微软雅黑"/>
                <w:b/>
                <w:color w:val="auto"/>
                <w:sz w:val="21"/>
                <w:szCs w:val="21"/>
                <w:highlight w:val="none"/>
              </w:rPr>
              <w:t>及名</w:t>
            </w:r>
          </w:p>
          <w:p w14:paraId="7270CA95">
            <w:pPr>
              <w:pStyle w:val="44"/>
              <w:spacing w:line="228" w:lineRule="exact"/>
              <w:ind w:left="213"/>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称）</w:t>
            </w:r>
          </w:p>
        </w:tc>
        <w:tc>
          <w:tcPr>
            <w:tcW w:w="1021" w:type="dxa"/>
            <w:vAlign w:val="center"/>
          </w:tcPr>
          <w:p w14:paraId="6C18A6BE">
            <w:pPr>
              <w:pStyle w:val="44"/>
              <w:spacing w:line="257" w:lineRule="exact"/>
              <w:ind w:left="213"/>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小类</w:t>
            </w:r>
          </w:p>
          <w:p w14:paraId="08C1C787">
            <w:pPr>
              <w:pStyle w:val="44"/>
              <w:spacing w:before="31" w:line="148" w:lineRule="auto"/>
              <w:ind w:left="213" w:right="98" w:hanging="106"/>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w:t>
            </w:r>
            <w:r>
              <w:rPr>
                <w:rFonts w:hint="eastAsia" w:ascii="微软雅黑" w:eastAsia="微软雅黑"/>
                <w:b/>
                <w:color w:val="auto"/>
                <w:spacing w:val="-10"/>
                <w:sz w:val="21"/>
                <w:szCs w:val="21"/>
                <w:highlight w:val="none"/>
              </w:rPr>
              <w:t>代码</w:t>
            </w:r>
            <w:r>
              <w:rPr>
                <w:rFonts w:hint="eastAsia" w:ascii="微软雅黑" w:eastAsia="微软雅黑"/>
                <w:b/>
                <w:color w:val="auto"/>
                <w:sz w:val="21"/>
                <w:szCs w:val="21"/>
                <w:highlight w:val="none"/>
              </w:rPr>
              <w:t>及名</w:t>
            </w:r>
          </w:p>
          <w:p w14:paraId="0D104D4E">
            <w:pPr>
              <w:pStyle w:val="44"/>
              <w:spacing w:line="228" w:lineRule="exact"/>
              <w:ind w:left="213"/>
              <w:jc w:val="left"/>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称）</w:t>
            </w:r>
          </w:p>
        </w:tc>
        <w:tc>
          <w:tcPr>
            <w:tcW w:w="851" w:type="dxa"/>
            <w:vAlign w:val="center"/>
          </w:tcPr>
          <w:p w14:paraId="457252D9">
            <w:pPr>
              <w:pStyle w:val="44"/>
              <w:spacing w:line="148" w:lineRule="auto"/>
              <w:ind w:left="38" w:right="31"/>
              <w:jc w:val="center"/>
              <w:rPr>
                <w:rFonts w:hint="eastAsia" w:ascii="微软雅黑" w:eastAsia="微软雅黑"/>
                <w:b/>
                <w:color w:val="auto"/>
                <w:sz w:val="21"/>
                <w:szCs w:val="21"/>
                <w:highlight w:val="none"/>
              </w:rPr>
            </w:pPr>
          </w:p>
          <w:p w14:paraId="4DE11A6F">
            <w:pPr>
              <w:pStyle w:val="44"/>
              <w:spacing w:line="148" w:lineRule="auto"/>
              <w:ind w:left="38" w:right="31"/>
              <w:jc w:val="center"/>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产业存在状况</w:t>
            </w:r>
          </w:p>
        </w:tc>
        <w:tc>
          <w:tcPr>
            <w:tcW w:w="2850" w:type="dxa"/>
          </w:tcPr>
          <w:p w14:paraId="4FBFF8BA">
            <w:pPr>
              <w:pStyle w:val="44"/>
              <w:ind w:left="598" w:right="591"/>
              <w:rPr>
                <w:rFonts w:hint="eastAsia" w:ascii="微软雅黑" w:eastAsia="微软雅黑"/>
                <w:b/>
                <w:color w:val="auto"/>
                <w:sz w:val="21"/>
                <w:szCs w:val="21"/>
                <w:highlight w:val="none"/>
              </w:rPr>
            </w:pPr>
          </w:p>
          <w:p w14:paraId="12B5E0B3">
            <w:pPr>
              <w:pStyle w:val="44"/>
              <w:ind w:left="598" w:right="591"/>
              <w:rPr>
                <w:rFonts w:hint="default" w:ascii="微软雅黑" w:eastAsia="微软雅黑"/>
                <w:b/>
                <w:color w:val="auto"/>
                <w:sz w:val="21"/>
                <w:szCs w:val="21"/>
                <w:highlight w:val="none"/>
                <w:lang w:val="en-US" w:eastAsia="zh-CN"/>
              </w:rPr>
            </w:pPr>
            <w:r>
              <w:rPr>
                <w:rFonts w:hint="eastAsia" w:ascii="微软雅黑" w:eastAsia="微软雅黑"/>
                <w:b/>
                <w:color w:val="auto"/>
                <w:sz w:val="21"/>
                <w:szCs w:val="21"/>
                <w:highlight w:val="none"/>
                <w:lang w:val="en-US" w:eastAsia="zh-CN"/>
              </w:rPr>
              <w:t>管控要求</w:t>
            </w:r>
          </w:p>
        </w:tc>
        <w:tc>
          <w:tcPr>
            <w:tcW w:w="2333" w:type="dxa"/>
          </w:tcPr>
          <w:p w14:paraId="6679E06F">
            <w:pPr>
              <w:pStyle w:val="44"/>
              <w:spacing w:before="8"/>
              <w:jc w:val="left"/>
              <w:rPr>
                <w:rFonts w:hint="eastAsia" w:ascii="微软雅黑"/>
                <w:b/>
                <w:color w:val="auto"/>
                <w:sz w:val="21"/>
                <w:szCs w:val="21"/>
                <w:highlight w:val="none"/>
              </w:rPr>
            </w:pPr>
          </w:p>
          <w:p w14:paraId="6CA3DF02">
            <w:pPr>
              <w:pStyle w:val="44"/>
              <w:ind w:left="598" w:right="591"/>
              <w:rPr>
                <w:rFonts w:hint="eastAsia" w:ascii="微软雅黑" w:eastAsia="微软雅黑"/>
                <w:b/>
                <w:color w:val="auto"/>
                <w:sz w:val="21"/>
                <w:szCs w:val="21"/>
                <w:highlight w:val="none"/>
              </w:rPr>
            </w:pPr>
            <w:r>
              <w:rPr>
                <w:rFonts w:hint="eastAsia" w:ascii="微软雅黑" w:eastAsia="微软雅黑"/>
                <w:b/>
                <w:color w:val="auto"/>
                <w:sz w:val="21"/>
                <w:szCs w:val="21"/>
                <w:highlight w:val="none"/>
              </w:rPr>
              <w:t>备注</w:t>
            </w:r>
          </w:p>
        </w:tc>
      </w:tr>
      <w:tr w14:paraId="65534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9739" w:type="dxa"/>
            <w:gridSpan w:val="8"/>
          </w:tcPr>
          <w:p w14:paraId="0FD123B3">
            <w:pPr>
              <w:pStyle w:val="44"/>
              <w:spacing w:before="10" w:line="264" w:lineRule="exact"/>
              <w:ind w:left="3648" w:right="3637"/>
              <w:rPr>
                <w:rFonts w:hint="eastAsia"/>
                <w:color w:val="auto"/>
                <w:sz w:val="21"/>
                <w:highlight w:val="none"/>
              </w:rPr>
            </w:pPr>
            <w:r>
              <w:rPr>
                <w:color w:val="auto"/>
                <w:sz w:val="21"/>
                <w:highlight w:val="none"/>
              </w:rPr>
              <w:t>限制类</w:t>
            </w:r>
          </w:p>
        </w:tc>
      </w:tr>
      <w:tr w14:paraId="2DFD7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45CFEB02">
            <w:pPr>
              <w:pStyle w:val="44"/>
              <w:spacing w:before="6"/>
              <w:jc w:val="left"/>
              <w:rPr>
                <w:rFonts w:hint="eastAsia" w:ascii="微软雅黑"/>
                <w:b/>
                <w:color w:val="auto"/>
                <w:sz w:val="27"/>
                <w:highlight w:val="none"/>
              </w:rPr>
            </w:pPr>
          </w:p>
          <w:p w14:paraId="54778E55">
            <w:pPr>
              <w:pStyle w:val="44"/>
              <w:spacing w:before="1"/>
              <w:ind w:right="142"/>
              <w:jc w:val="right"/>
              <w:rPr>
                <w:rFonts w:hint="eastAsia" w:ascii="Times New Roman"/>
                <w:color w:val="auto"/>
                <w:sz w:val="21"/>
                <w:highlight w:val="none"/>
              </w:rPr>
            </w:pPr>
            <w:r>
              <w:rPr>
                <w:rFonts w:ascii="Times New Roman"/>
                <w:color w:val="auto"/>
                <w:sz w:val="21"/>
                <w:highlight w:val="none"/>
              </w:rPr>
              <w:t>1</w:t>
            </w:r>
          </w:p>
        </w:tc>
        <w:tc>
          <w:tcPr>
            <w:tcW w:w="708" w:type="dxa"/>
            <w:vMerge w:val="restart"/>
          </w:tcPr>
          <w:p w14:paraId="099C2E38">
            <w:pPr>
              <w:pStyle w:val="44"/>
              <w:jc w:val="left"/>
              <w:rPr>
                <w:rFonts w:hint="eastAsia" w:ascii="微软雅黑"/>
                <w:b/>
                <w:color w:val="auto"/>
                <w:sz w:val="20"/>
                <w:highlight w:val="none"/>
              </w:rPr>
            </w:pPr>
          </w:p>
          <w:p w14:paraId="47A5DDEE">
            <w:pPr>
              <w:pStyle w:val="44"/>
              <w:jc w:val="left"/>
              <w:rPr>
                <w:rFonts w:hint="eastAsia" w:ascii="微软雅黑"/>
                <w:b/>
                <w:color w:val="auto"/>
                <w:sz w:val="20"/>
                <w:highlight w:val="none"/>
              </w:rPr>
            </w:pPr>
          </w:p>
          <w:p w14:paraId="413FC728">
            <w:pPr>
              <w:pStyle w:val="44"/>
              <w:jc w:val="left"/>
              <w:rPr>
                <w:rFonts w:hint="eastAsia" w:ascii="微软雅黑"/>
                <w:b/>
                <w:color w:val="auto"/>
                <w:sz w:val="20"/>
                <w:highlight w:val="none"/>
              </w:rPr>
            </w:pPr>
          </w:p>
          <w:p w14:paraId="46C81F40">
            <w:pPr>
              <w:pStyle w:val="44"/>
              <w:jc w:val="left"/>
              <w:rPr>
                <w:rFonts w:hint="eastAsia" w:ascii="微软雅黑"/>
                <w:b/>
                <w:color w:val="auto"/>
                <w:sz w:val="20"/>
                <w:highlight w:val="none"/>
              </w:rPr>
            </w:pPr>
          </w:p>
          <w:p w14:paraId="0663AC4D">
            <w:pPr>
              <w:pStyle w:val="44"/>
              <w:jc w:val="left"/>
              <w:rPr>
                <w:rFonts w:hint="eastAsia" w:ascii="微软雅黑"/>
                <w:b/>
                <w:color w:val="auto"/>
                <w:sz w:val="20"/>
                <w:highlight w:val="none"/>
              </w:rPr>
            </w:pPr>
          </w:p>
          <w:p w14:paraId="38D5B57A">
            <w:pPr>
              <w:pStyle w:val="44"/>
              <w:jc w:val="left"/>
              <w:rPr>
                <w:rFonts w:hint="eastAsia" w:ascii="微软雅黑"/>
                <w:b/>
                <w:color w:val="auto"/>
                <w:sz w:val="20"/>
                <w:highlight w:val="none"/>
              </w:rPr>
            </w:pPr>
          </w:p>
          <w:p w14:paraId="799FE94D">
            <w:pPr>
              <w:pStyle w:val="44"/>
              <w:jc w:val="left"/>
              <w:rPr>
                <w:rFonts w:hint="eastAsia" w:ascii="微软雅黑"/>
                <w:b/>
                <w:color w:val="auto"/>
                <w:sz w:val="20"/>
                <w:highlight w:val="none"/>
              </w:rPr>
            </w:pPr>
          </w:p>
          <w:p w14:paraId="06C622F7">
            <w:pPr>
              <w:pStyle w:val="44"/>
              <w:jc w:val="left"/>
              <w:rPr>
                <w:rFonts w:hint="eastAsia" w:ascii="微软雅黑"/>
                <w:b/>
                <w:color w:val="auto"/>
                <w:sz w:val="20"/>
                <w:highlight w:val="none"/>
              </w:rPr>
            </w:pPr>
          </w:p>
          <w:p w14:paraId="7A381819">
            <w:pPr>
              <w:pStyle w:val="44"/>
              <w:jc w:val="left"/>
              <w:rPr>
                <w:rFonts w:hint="eastAsia" w:ascii="微软雅黑"/>
                <w:b/>
                <w:color w:val="auto"/>
                <w:sz w:val="20"/>
                <w:highlight w:val="none"/>
              </w:rPr>
            </w:pPr>
          </w:p>
          <w:p w14:paraId="55016407">
            <w:pPr>
              <w:pStyle w:val="44"/>
              <w:jc w:val="left"/>
              <w:rPr>
                <w:rFonts w:hint="eastAsia" w:ascii="微软雅黑"/>
                <w:b/>
                <w:color w:val="auto"/>
                <w:sz w:val="20"/>
                <w:highlight w:val="none"/>
              </w:rPr>
            </w:pPr>
          </w:p>
          <w:p w14:paraId="31673E94">
            <w:pPr>
              <w:pStyle w:val="44"/>
              <w:jc w:val="left"/>
              <w:rPr>
                <w:rFonts w:hint="eastAsia" w:ascii="微软雅黑"/>
                <w:b/>
                <w:color w:val="auto"/>
                <w:sz w:val="20"/>
                <w:highlight w:val="none"/>
              </w:rPr>
            </w:pPr>
          </w:p>
          <w:p w14:paraId="60D88C08">
            <w:pPr>
              <w:pStyle w:val="44"/>
              <w:jc w:val="left"/>
              <w:rPr>
                <w:rFonts w:hint="eastAsia" w:ascii="微软雅黑"/>
                <w:b/>
                <w:color w:val="auto"/>
                <w:sz w:val="20"/>
                <w:highlight w:val="none"/>
              </w:rPr>
            </w:pPr>
          </w:p>
          <w:p w14:paraId="6E80E7B2">
            <w:pPr>
              <w:pStyle w:val="44"/>
              <w:jc w:val="left"/>
              <w:rPr>
                <w:rFonts w:hint="eastAsia" w:ascii="微软雅黑"/>
                <w:b/>
                <w:color w:val="auto"/>
                <w:sz w:val="20"/>
                <w:highlight w:val="none"/>
              </w:rPr>
            </w:pPr>
          </w:p>
          <w:p w14:paraId="62457ADE">
            <w:pPr>
              <w:pStyle w:val="44"/>
              <w:jc w:val="left"/>
              <w:rPr>
                <w:rFonts w:hint="eastAsia" w:ascii="微软雅黑"/>
                <w:b/>
                <w:color w:val="auto"/>
                <w:sz w:val="20"/>
                <w:highlight w:val="none"/>
              </w:rPr>
            </w:pPr>
          </w:p>
          <w:p w14:paraId="1E87835F">
            <w:pPr>
              <w:pStyle w:val="44"/>
              <w:spacing w:before="8"/>
              <w:jc w:val="left"/>
              <w:rPr>
                <w:rFonts w:hint="eastAsia" w:ascii="微软雅黑"/>
                <w:b/>
                <w:color w:val="auto"/>
                <w:sz w:val="11"/>
                <w:highlight w:val="none"/>
              </w:rPr>
            </w:pPr>
          </w:p>
          <w:p w14:paraId="4FC79C7E">
            <w:pPr>
              <w:pStyle w:val="44"/>
              <w:spacing w:line="213" w:lineRule="auto"/>
              <w:ind w:left="37" w:right="24" w:hanging="5"/>
              <w:rPr>
                <w:rFonts w:hint="eastAsia"/>
                <w:color w:val="auto"/>
                <w:sz w:val="21"/>
                <w:highlight w:val="none"/>
              </w:rPr>
            </w:pPr>
            <w:r>
              <w:rPr>
                <w:rFonts w:ascii="Times New Roman" w:eastAsia="Times New Roman"/>
                <w:color w:val="auto"/>
                <w:sz w:val="21"/>
                <w:highlight w:val="none"/>
              </w:rPr>
              <w:t>A</w:t>
            </w:r>
            <w:r>
              <w:rPr>
                <w:rFonts w:ascii="Times New Roman" w:eastAsia="Times New Roman"/>
                <w:color w:val="auto"/>
                <w:spacing w:val="3"/>
                <w:sz w:val="21"/>
                <w:highlight w:val="none"/>
              </w:rPr>
              <w:t xml:space="preserve"> </w:t>
            </w:r>
            <w:r>
              <w:rPr>
                <w:color w:val="auto"/>
                <w:spacing w:val="-3"/>
                <w:sz w:val="21"/>
                <w:highlight w:val="none"/>
              </w:rPr>
              <w:t>农、</w:t>
            </w:r>
            <w:r>
              <w:rPr>
                <w:color w:val="auto"/>
                <w:sz w:val="21"/>
                <w:highlight w:val="none"/>
              </w:rPr>
              <w:t xml:space="preserve">林、 </w:t>
            </w:r>
            <w:r>
              <w:rPr>
                <w:color w:val="auto"/>
                <w:spacing w:val="-6"/>
                <w:sz w:val="21"/>
                <w:highlight w:val="none"/>
              </w:rPr>
              <w:t>牧、渔</w:t>
            </w:r>
            <w:r>
              <w:rPr>
                <w:color w:val="auto"/>
                <w:sz w:val="21"/>
                <w:highlight w:val="none"/>
              </w:rPr>
              <w:t>业</w:t>
            </w:r>
          </w:p>
        </w:tc>
        <w:tc>
          <w:tcPr>
            <w:tcW w:w="708" w:type="dxa"/>
            <w:vMerge w:val="restart"/>
          </w:tcPr>
          <w:p w14:paraId="37CB6477">
            <w:pPr>
              <w:pStyle w:val="44"/>
              <w:jc w:val="left"/>
              <w:rPr>
                <w:rFonts w:hint="eastAsia" w:ascii="微软雅黑"/>
                <w:b/>
                <w:color w:val="auto"/>
                <w:sz w:val="20"/>
                <w:highlight w:val="none"/>
              </w:rPr>
            </w:pPr>
          </w:p>
          <w:p w14:paraId="10DA0924">
            <w:pPr>
              <w:pStyle w:val="44"/>
              <w:jc w:val="left"/>
              <w:rPr>
                <w:rFonts w:hint="eastAsia" w:ascii="微软雅黑"/>
                <w:b/>
                <w:color w:val="auto"/>
                <w:sz w:val="20"/>
                <w:highlight w:val="none"/>
              </w:rPr>
            </w:pPr>
          </w:p>
          <w:p w14:paraId="179D70BD">
            <w:pPr>
              <w:pStyle w:val="44"/>
              <w:jc w:val="left"/>
              <w:rPr>
                <w:rFonts w:hint="eastAsia" w:ascii="微软雅黑"/>
                <w:b/>
                <w:color w:val="auto"/>
                <w:sz w:val="20"/>
                <w:highlight w:val="none"/>
              </w:rPr>
            </w:pPr>
          </w:p>
          <w:p w14:paraId="0DFAC127">
            <w:pPr>
              <w:pStyle w:val="44"/>
              <w:jc w:val="left"/>
              <w:rPr>
                <w:rFonts w:hint="eastAsia" w:ascii="微软雅黑"/>
                <w:b/>
                <w:color w:val="auto"/>
                <w:sz w:val="20"/>
                <w:highlight w:val="none"/>
              </w:rPr>
            </w:pPr>
          </w:p>
          <w:p w14:paraId="67D0BB60">
            <w:pPr>
              <w:pStyle w:val="44"/>
              <w:jc w:val="left"/>
              <w:rPr>
                <w:rFonts w:hint="eastAsia" w:ascii="微软雅黑"/>
                <w:b/>
                <w:color w:val="auto"/>
                <w:sz w:val="20"/>
                <w:highlight w:val="none"/>
              </w:rPr>
            </w:pPr>
          </w:p>
          <w:p w14:paraId="4DB13348">
            <w:pPr>
              <w:pStyle w:val="44"/>
              <w:jc w:val="left"/>
              <w:rPr>
                <w:rFonts w:hint="eastAsia" w:ascii="微软雅黑"/>
                <w:b/>
                <w:color w:val="auto"/>
                <w:sz w:val="20"/>
                <w:highlight w:val="none"/>
              </w:rPr>
            </w:pPr>
          </w:p>
          <w:p w14:paraId="22093018">
            <w:pPr>
              <w:pStyle w:val="44"/>
              <w:jc w:val="left"/>
              <w:rPr>
                <w:rFonts w:hint="eastAsia" w:ascii="微软雅黑"/>
                <w:b/>
                <w:color w:val="auto"/>
                <w:sz w:val="20"/>
                <w:highlight w:val="none"/>
              </w:rPr>
            </w:pPr>
          </w:p>
          <w:p w14:paraId="5586C183">
            <w:pPr>
              <w:pStyle w:val="44"/>
              <w:jc w:val="left"/>
              <w:rPr>
                <w:rFonts w:hint="eastAsia" w:ascii="微软雅黑"/>
                <w:b/>
                <w:color w:val="auto"/>
                <w:sz w:val="20"/>
                <w:highlight w:val="none"/>
              </w:rPr>
            </w:pPr>
          </w:p>
          <w:p w14:paraId="2DBAB2A8">
            <w:pPr>
              <w:pStyle w:val="44"/>
              <w:spacing w:before="2"/>
              <w:jc w:val="left"/>
              <w:rPr>
                <w:rFonts w:hint="eastAsia" w:ascii="微软雅黑"/>
                <w:b/>
                <w:color w:val="auto"/>
                <w:sz w:val="20"/>
                <w:highlight w:val="none"/>
              </w:rPr>
            </w:pPr>
          </w:p>
          <w:p w14:paraId="6E64985E">
            <w:pPr>
              <w:pStyle w:val="44"/>
              <w:spacing w:line="213" w:lineRule="auto"/>
              <w:ind w:left="249" w:right="103" w:hanging="132"/>
              <w:jc w:val="left"/>
              <w:rPr>
                <w:rFonts w:hint="eastAsia"/>
                <w:color w:val="auto"/>
                <w:sz w:val="21"/>
                <w:highlight w:val="none"/>
              </w:rPr>
            </w:pPr>
            <w:r>
              <w:rPr>
                <w:rFonts w:ascii="Times New Roman" w:eastAsia="Times New Roman"/>
                <w:color w:val="auto"/>
                <w:sz w:val="21"/>
                <w:highlight w:val="none"/>
              </w:rPr>
              <w:t xml:space="preserve">01 </w:t>
            </w:r>
            <w:r>
              <w:rPr>
                <w:color w:val="auto"/>
                <w:sz w:val="21"/>
                <w:highlight w:val="none"/>
              </w:rPr>
              <w:t>农业</w:t>
            </w:r>
          </w:p>
        </w:tc>
        <w:tc>
          <w:tcPr>
            <w:tcW w:w="852" w:type="dxa"/>
          </w:tcPr>
          <w:p w14:paraId="243636FA">
            <w:pPr>
              <w:pStyle w:val="44"/>
              <w:spacing w:before="6"/>
              <w:jc w:val="left"/>
              <w:rPr>
                <w:rFonts w:hint="eastAsia" w:ascii="微软雅黑"/>
                <w:b/>
                <w:color w:val="auto"/>
                <w:sz w:val="21"/>
                <w:highlight w:val="none"/>
              </w:rPr>
            </w:pPr>
          </w:p>
          <w:p w14:paraId="4EE7CCCB">
            <w:pPr>
              <w:pStyle w:val="44"/>
              <w:spacing w:line="213" w:lineRule="auto"/>
              <w:ind w:left="215" w:right="9" w:hanging="180"/>
              <w:jc w:val="left"/>
              <w:rPr>
                <w:rFonts w:hint="eastAsia"/>
                <w:color w:val="auto"/>
                <w:sz w:val="21"/>
                <w:highlight w:val="none"/>
              </w:rPr>
            </w:pPr>
            <w:r>
              <w:rPr>
                <w:rFonts w:ascii="Times New Roman" w:eastAsia="Times New Roman"/>
                <w:color w:val="auto"/>
                <w:sz w:val="21"/>
                <w:highlight w:val="none"/>
              </w:rPr>
              <w:t xml:space="preserve">011 </w:t>
            </w:r>
            <w:r>
              <w:rPr>
                <w:color w:val="auto"/>
                <w:sz w:val="21"/>
                <w:highlight w:val="none"/>
              </w:rPr>
              <w:t>谷物种植</w:t>
            </w:r>
          </w:p>
        </w:tc>
        <w:tc>
          <w:tcPr>
            <w:tcW w:w="1021" w:type="dxa"/>
          </w:tcPr>
          <w:p w14:paraId="2DA85586">
            <w:pPr>
              <w:pStyle w:val="44"/>
              <w:spacing w:before="1"/>
              <w:jc w:val="left"/>
              <w:rPr>
                <w:rFonts w:hint="eastAsia" w:ascii="微软雅黑"/>
                <w:b/>
                <w:color w:val="auto"/>
                <w:sz w:val="20"/>
                <w:highlight w:val="none"/>
              </w:rPr>
            </w:pPr>
          </w:p>
          <w:p w14:paraId="2DE5BDFD">
            <w:pPr>
              <w:pStyle w:val="44"/>
              <w:spacing w:before="1" w:line="255" w:lineRule="exact"/>
              <w:ind w:left="90"/>
              <w:jc w:val="left"/>
              <w:rPr>
                <w:rFonts w:hint="eastAsia"/>
                <w:color w:val="auto"/>
                <w:sz w:val="21"/>
                <w:highlight w:val="none"/>
              </w:rPr>
            </w:pPr>
            <w:r>
              <w:rPr>
                <w:rFonts w:ascii="Times New Roman" w:eastAsia="Times New Roman"/>
                <w:color w:val="auto"/>
                <w:spacing w:val="-5"/>
                <w:sz w:val="21"/>
                <w:highlight w:val="none"/>
              </w:rPr>
              <w:t>0111</w:t>
            </w:r>
            <w:r>
              <w:rPr>
                <w:rFonts w:ascii="Times New Roman" w:eastAsia="Times New Roman"/>
                <w:color w:val="auto"/>
                <w:spacing w:val="5"/>
                <w:sz w:val="21"/>
                <w:highlight w:val="none"/>
              </w:rPr>
              <w:t xml:space="preserve"> </w:t>
            </w:r>
            <w:r>
              <w:rPr>
                <w:color w:val="auto"/>
                <w:sz w:val="21"/>
                <w:highlight w:val="none"/>
              </w:rPr>
              <w:t>稻</w:t>
            </w:r>
          </w:p>
          <w:p w14:paraId="61B65140">
            <w:pPr>
              <w:pStyle w:val="44"/>
              <w:spacing w:line="255" w:lineRule="exact"/>
              <w:ind w:left="107"/>
              <w:jc w:val="left"/>
              <w:rPr>
                <w:rFonts w:hint="eastAsia"/>
                <w:color w:val="auto"/>
                <w:sz w:val="21"/>
                <w:highlight w:val="none"/>
              </w:rPr>
            </w:pPr>
            <w:r>
              <w:rPr>
                <w:color w:val="auto"/>
                <w:sz w:val="21"/>
                <w:highlight w:val="none"/>
              </w:rPr>
              <w:t>谷种植</w:t>
            </w:r>
          </w:p>
        </w:tc>
        <w:tc>
          <w:tcPr>
            <w:tcW w:w="851" w:type="dxa"/>
          </w:tcPr>
          <w:p w14:paraId="2A57E2E3">
            <w:pPr>
              <w:pStyle w:val="44"/>
              <w:spacing w:before="6"/>
              <w:jc w:val="left"/>
              <w:rPr>
                <w:rFonts w:hint="eastAsia" w:ascii="微软雅黑"/>
                <w:b/>
                <w:color w:val="auto"/>
                <w:sz w:val="21"/>
                <w:highlight w:val="none"/>
              </w:rPr>
            </w:pPr>
          </w:p>
          <w:p w14:paraId="08A7E1C1">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2B8C60F0">
            <w:pPr>
              <w:pStyle w:val="44"/>
              <w:spacing w:before="11"/>
              <w:jc w:val="left"/>
              <w:rPr>
                <w:rFonts w:hint="eastAsia" w:ascii="微软雅黑"/>
                <w:b/>
                <w:color w:val="auto"/>
                <w:sz w:val="26"/>
                <w:highlight w:val="none"/>
                <w:lang w:eastAsia="zh-CN"/>
              </w:rPr>
            </w:pPr>
          </w:p>
          <w:p w14:paraId="436F9707">
            <w:pPr>
              <w:pStyle w:val="44"/>
              <w:ind w:left="26"/>
              <w:jc w:val="left"/>
              <w:rPr>
                <w:rFonts w:hint="eastAsia"/>
                <w:color w:val="auto"/>
                <w:sz w:val="21"/>
                <w:highlight w:val="none"/>
                <w:lang w:eastAsia="zh-CN"/>
              </w:rPr>
            </w:pPr>
            <w:r>
              <w:rPr>
                <w:color w:val="auto"/>
                <w:sz w:val="21"/>
                <w:highlight w:val="none"/>
                <w:lang w:eastAsia="zh-CN"/>
              </w:rPr>
              <w:t xml:space="preserve">禁止在坡度大于 </w:t>
            </w:r>
            <w:r>
              <w:rPr>
                <w:rFonts w:ascii="Times New Roman" w:eastAsia="Times New Roman"/>
                <w:color w:val="auto"/>
                <w:sz w:val="21"/>
                <w:highlight w:val="none"/>
                <w:lang w:eastAsia="zh-CN"/>
              </w:rPr>
              <w:t xml:space="preserve">25 </w:t>
            </w:r>
            <w:r>
              <w:rPr>
                <w:color w:val="auto"/>
                <w:sz w:val="21"/>
                <w:highlight w:val="none"/>
                <w:lang w:eastAsia="zh-CN"/>
              </w:rPr>
              <w:t>度的陡坡地开荒种植</w:t>
            </w:r>
          </w:p>
        </w:tc>
        <w:tc>
          <w:tcPr>
            <w:tcW w:w="2333" w:type="dxa"/>
          </w:tcPr>
          <w:p w14:paraId="2B01B818">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w:t>
            </w:r>
          </w:p>
          <w:p w14:paraId="7C002E4E">
            <w:pPr>
              <w:pStyle w:val="44"/>
              <w:spacing w:before="2"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619F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416" w:type="dxa"/>
          </w:tcPr>
          <w:p w14:paraId="6F19B972">
            <w:pPr>
              <w:pStyle w:val="44"/>
              <w:spacing w:before="7"/>
              <w:jc w:val="left"/>
              <w:rPr>
                <w:rFonts w:hint="eastAsia" w:ascii="微软雅黑"/>
                <w:b/>
                <w:color w:val="auto"/>
                <w:sz w:val="27"/>
                <w:highlight w:val="none"/>
                <w:lang w:eastAsia="zh-CN"/>
              </w:rPr>
            </w:pPr>
          </w:p>
          <w:p w14:paraId="48EC2BD2">
            <w:pPr>
              <w:pStyle w:val="44"/>
              <w:ind w:right="142"/>
              <w:jc w:val="right"/>
              <w:rPr>
                <w:rFonts w:hint="eastAsia" w:ascii="Times New Roman"/>
                <w:color w:val="auto"/>
                <w:sz w:val="21"/>
                <w:highlight w:val="none"/>
              </w:rPr>
            </w:pPr>
            <w:r>
              <w:rPr>
                <w:rFonts w:ascii="Times New Roman"/>
                <w:color w:val="auto"/>
                <w:sz w:val="21"/>
                <w:highlight w:val="none"/>
              </w:rPr>
              <w:t>2</w:t>
            </w:r>
          </w:p>
        </w:tc>
        <w:tc>
          <w:tcPr>
            <w:tcW w:w="708" w:type="dxa"/>
            <w:vMerge w:val="continue"/>
            <w:tcBorders>
              <w:top w:val="nil"/>
            </w:tcBorders>
          </w:tcPr>
          <w:p w14:paraId="2759F63A">
            <w:pPr>
              <w:rPr>
                <w:rFonts w:hint="eastAsia"/>
                <w:color w:val="auto"/>
                <w:sz w:val="2"/>
                <w:szCs w:val="2"/>
                <w:highlight w:val="none"/>
              </w:rPr>
            </w:pPr>
          </w:p>
        </w:tc>
        <w:tc>
          <w:tcPr>
            <w:tcW w:w="708" w:type="dxa"/>
            <w:vMerge w:val="continue"/>
            <w:tcBorders>
              <w:top w:val="nil"/>
            </w:tcBorders>
          </w:tcPr>
          <w:p w14:paraId="4147C7DE">
            <w:pPr>
              <w:rPr>
                <w:rFonts w:hint="eastAsia"/>
                <w:color w:val="auto"/>
                <w:sz w:val="2"/>
                <w:szCs w:val="2"/>
                <w:highlight w:val="none"/>
              </w:rPr>
            </w:pPr>
          </w:p>
        </w:tc>
        <w:tc>
          <w:tcPr>
            <w:tcW w:w="852" w:type="dxa"/>
          </w:tcPr>
          <w:p w14:paraId="79CB5D59">
            <w:pPr>
              <w:pStyle w:val="44"/>
              <w:spacing w:before="153" w:line="213" w:lineRule="auto"/>
              <w:ind w:left="109" w:right="22" w:hanging="80"/>
              <w:jc w:val="left"/>
              <w:rPr>
                <w:rFonts w:hint="eastAsia"/>
                <w:color w:val="auto"/>
                <w:sz w:val="21"/>
                <w:highlight w:val="none"/>
                <w:lang w:eastAsia="zh-CN"/>
              </w:rPr>
            </w:pPr>
            <w:r>
              <w:rPr>
                <w:rFonts w:ascii="Times New Roman" w:eastAsia="Times New Roman"/>
                <w:color w:val="auto"/>
                <w:sz w:val="21"/>
                <w:highlight w:val="none"/>
                <w:lang w:eastAsia="zh-CN"/>
              </w:rPr>
              <w:t xml:space="preserve">013 </w:t>
            </w:r>
            <w:r>
              <w:rPr>
                <w:color w:val="auto"/>
                <w:sz w:val="21"/>
                <w:highlight w:val="none"/>
                <w:lang w:eastAsia="zh-CN"/>
              </w:rPr>
              <w:t>棉、麻 、 糖、烟草种植</w:t>
            </w:r>
          </w:p>
        </w:tc>
        <w:tc>
          <w:tcPr>
            <w:tcW w:w="1021" w:type="dxa"/>
          </w:tcPr>
          <w:p w14:paraId="09C90709">
            <w:pPr>
              <w:pStyle w:val="44"/>
              <w:spacing w:before="2"/>
              <w:jc w:val="left"/>
              <w:rPr>
                <w:rFonts w:hint="eastAsia" w:ascii="微软雅黑"/>
                <w:b/>
                <w:color w:val="auto"/>
                <w:sz w:val="20"/>
                <w:highlight w:val="none"/>
                <w:lang w:eastAsia="zh-CN"/>
              </w:rPr>
            </w:pPr>
          </w:p>
          <w:p w14:paraId="001FA6BC">
            <w:pPr>
              <w:pStyle w:val="44"/>
              <w:spacing w:line="255" w:lineRule="exact"/>
              <w:ind w:left="83"/>
              <w:jc w:val="left"/>
              <w:rPr>
                <w:rFonts w:hint="eastAsia"/>
                <w:color w:val="auto"/>
                <w:sz w:val="21"/>
                <w:highlight w:val="none"/>
              </w:rPr>
            </w:pPr>
            <w:r>
              <w:rPr>
                <w:rFonts w:ascii="Times New Roman" w:eastAsia="Times New Roman"/>
                <w:color w:val="auto"/>
                <w:sz w:val="21"/>
                <w:highlight w:val="none"/>
              </w:rPr>
              <w:t>0133</w:t>
            </w:r>
            <w:r>
              <w:rPr>
                <w:rFonts w:ascii="Times New Roman" w:eastAsia="Times New Roman"/>
                <w:color w:val="auto"/>
                <w:spacing w:val="1"/>
                <w:sz w:val="21"/>
                <w:highlight w:val="none"/>
              </w:rPr>
              <w:t xml:space="preserve"> </w:t>
            </w:r>
            <w:r>
              <w:rPr>
                <w:color w:val="auto"/>
                <w:sz w:val="21"/>
                <w:highlight w:val="none"/>
              </w:rPr>
              <w:t>糖</w:t>
            </w:r>
          </w:p>
          <w:p w14:paraId="594C3231">
            <w:pPr>
              <w:pStyle w:val="44"/>
              <w:spacing w:line="255" w:lineRule="exact"/>
              <w:ind w:left="107"/>
              <w:jc w:val="left"/>
              <w:rPr>
                <w:rFonts w:hint="eastAsia"/>
                <w:color w:val="auto"/>
                <w:sz w:val="21"/>
                <w:highlight w:val="none"/>
              </w:rPr>
            </w:pPr>
            <w:r>
              <w:rPr>
                <w:color w:val="auto"/>
                <w:sz w:val="21"/>
                <w:highlight w:val="none"/>
              </w:rPr>
              <w:t>料种植</w:t>
            </w:r>
          </w:p>
        </w:tc>
        <w:tc>
          <w:tcPr>
            <w:tcW w:w="851" w:type="dxa"/>
          </w:tcPr>
          <w:p w14:paraId="5B2E6EF9">
            <w:pPr>
              <w:pStyle w:val="44"/>
              <w:spacing w:before="7"/>
              <w:jc w:val="left"/>
              <w:rPr>
                <w:rFonts w:hint="eastAsia" w:ascii="微软雅黑"/>
                <w:b/>
                <w:color w:val="auto"/>
                <w:sz w:val="21"/>
                <w:highlight w:val="none"/>
              </w:rPr>
            </w:pPr>
          </w:p>
          <w:p w14:paraId="1F642146">
            <w:pPr>
              <w:pStyle w:val="44"/>
              <w:spacing w:line="213" w:lineRule="auto"/>
              <w:ind w:left="40" w:right="30"/>
              <w:jc w:val="left"/>
              <w:rPr>
                <w:rFonts w:hint="eastAsia"/>
                <w:color w:val="auto"/>
                <w:sz w:val="21"/>
                <w:highlight w:val="none"/>
              </w:rPr>
            </w:pPr>
            <w:r>
              <w:rPr>
                <w:color w:val="auto"/>
                <w:sz w:val="21"/>
                <w:highlight w:val="none"/>
              </w:rPr>
              <w:t>现有主导产业</w:t>
            </w:r>
          </w:p>
        </w:tc>
        <w:tc>
          <w:tcPr>
            <w:tcW w:w="2850" w:type="dxa"/>
          </w:tcPr>
          <w:p w14:paraId="5F5D3399">
            <w:pPr>
              <w:pStyle w:val="44"/>
              <w:spacing w:before="11"/>
              <w:jc w:val="left"/>
              <w:rPr>
                <w:rFonts w:hint="eastAsia" w:ascii="微软雅黑"/>
                <w:b/>
                <w:color w:val="auto"/>
                <w:sz w:val="26"/>
                <w:highlight w:val="none"/>
                <w:lang w:eastAsia="zh-CN"/>
              </w:rPr>
            </w:pPr>
          </w:p>
          <w:p w14:paraId="15916521">
            <w:pPr>
              <w:pStyle w:val="44"/>
              <w:spacing w:before="1"/>
              <w:ind w:left="26"/>
              <w:jc w:val="left"/>
              <w:rPr>
                <w:rFonts w:hint="eastAsia"/>
                <w:color w:val="auto"/>
                <w:sz w:val="21"/>
                <w:highlight w:val="none"/>
                <w:lang w:eastAsia="zh-CN"/>
              </w:rPr>
            </w:pPr>
            <w:r>
              <w:rPr>
                <w:color w:val="auto"/>
                <w:sz w:val="21"/>
                <w:highlight w:val="none"/>
                <w:lang w:eastAsia="zh-CN"/>
              </w:rPr>
              <w:t xml:space="preserve">禁止在坡度大于 </w:t>
            </w:r>
            <w:r>
              <w:rPr>
                <w:rFonts w:ascii="Times New Roman" w:eastAsia="Times New Roman"/>
                <w:color w:val="auto"/>
                <w:sz w:val="21"/>
                <w:highlight w:val="none"/>
                <w:lang w:eastAsia="zh-CN"/>
              </w:rPr>
              <w:t xml:space="preserve">25 </w:t>
            </w:r>
            <w:r>
              <w:rPr>
                <w:color w:val="auto"/>
                <w:sz w:val="21"/>
                <w:highlight w:val="none"/>
                <w:lang w:eastAsia="zh-CN"/>
              </w:rPr>
              <w:t>度的陡坡地开荒种植</w:t>
            </w:r>
          </w:p>
        </w:tc>
        <w:tc>
          <w:tcPr>
            <w:tcW w:w="2333" w:type="dxa"/>
          </w:tcPr>
          <w:p w14:paraId="05E14FB9">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w:t>
            </w:r>
          </w:p>
          <w:p w14:paraId="2FBC308B">
            <w:pPr>
              <w:pStyle w:val="44"/>
              <w:spacing w:before="3"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60529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2E61B1AD">
            <w:pPr>
              <w:pStyle w:val="44"/>
              <w:spacing w:before="6"/>
              <w:jc w:val="left"/>
              <w:rPr>
                <w:rFonts w:hint="eastAsia" w:ascii="微软雅黑"/>
                <w:b/>
                <w:color w:val="auto"/>
                <w:sz w:val="27"/>
                <w:highlight w:val="none"/>
                <w:lang w:eastAsia="zh-CN"/>
              </w:rPr>
            </w:pPr>
          </w:p>
          <w:p w14:paraId="74EA0FA3">
            <w:pPr>
              <w:pStyle w:val="44"/>
              <w:spacing w:before="1"/>
              <w:ind w:right="142"/>
              <w:jc w:val="right"/>
              <w:rPr>
                <w:rFonts w:hint="eastAsia" w:ascii="Times New Roman"/>
                <w:color w:val="auto"/>
                <w:sz w:val="21"/>
                <w:highlight w:val="none"/>
              </w:rPr>
            </w:pPr>
            <w:r>
              <w:rPr>
                <w:rFonts w:ascii="Times New Roman"/>
                <w:color w:val="auto"/>
                <w:sz w:val="21"/>
                <w:highlight w:val="none"/>
              </w:rPr>
              <w:t>3</w:t>
            </w:r>
          </w:p>
        </w:tc>
        <w:tc>
          <w:tcPr>
            <w:tcW w:w="708" w:type="dxa"/>
            <w:vMerge w:val="continue"/>
            <w:tcBorders>
              <w:top w:val="nil"/>
            </w:tcBorders>
          </w:tcPr>
          <w:p w14:paraId="5266DF98">
            <w:pPr>
              <w:rPr>
                <w:rFonts w:hint="eastAsia"/>
                <w:color w:val="auto"/>
                <w:sz w:val="2"/>
                <w:szCs w:val="2"/>
                <w:highlight w:val="none"/>
              </w:rPr>
            </w:pPr>
          </w:p>
        </w:tc>
        <w:tc>
          <w:tcPr>
            <w:tcW w:w="708" w:type="dxa"/>
            <w:vMerge w:val="continue"/>
            <w:tcBorders>
              <w:top w:val="nil"/>
            </w:tcBorders>
          </w:tcPr>
          <w:p w14:paraId="4F9C9BF7">
            <w:pPr>
              <w:rPr>
                <w:rFonts w:hint="eastAsia"/>
                <w:color w:val="auto"/>
                <w:sz w:val="2"/>
                <w:szCs w:val="2"/>
                <w:highlight w:val="none"/>
              </w:rPr>
            </w:pPr>
          </w:p>
        </w:tc>
        <w:tc>
          <w:tcPr>
            <w:tcW w:w="852" w:type="dxa"/>
            <w:vMerge w:val="restart"/>
          </w:tcPr>
          <w:p w14:paraId="46183317">
            <w:pPr>
              <w:pStyle w:val="44"/>
              <w:spacing w:before="17"/>
              <w:jc w:val="left"/>
              <w:rPr>
                <w:rFonts w:hint="eastAsia" w:ascii="微软雅黑"/>
                <w:b/>
                <w:color w:val="auto"/>
                <w:sz w:val="21"/>
                <w:highlight w:val="none"/>
                <w:lang w:eastAsia="zh-CN"/>
              </w:rPr>
            </w:pPr>
          </w:p>
          <w:p w14:paraId="296CC376">
            <w:pPr>
              <w:pStyle w:val="44"/>
              <w:spacing w:line="255" w:lineRule="exact"/>
              <w:ind w:left="136"/>
              <w:jc w:val="both"/>
              <w:rPr>
                <w:rFonts w:hint="eastAsia"/>
                <w:color w:val="auto"/>
                <w:sz w:val="21"/>
                <w:highlight w:val="none"/>
                <w:lang w:eastAsia="zh-CN"/>
              </w:rPr>
            </w:pPr>
            <w:r>
              <w:rPr>
                <w:rFonts w:ascii="Times New Roman" w:eastAsia="Times New Roman"/>
                <w:color w:val="auto"/>
                <w:sz w:val="21"/>
                <w:highlight w:val="none"/>
                <w:lang w:eastAsia="zh-CN"/>
              </w:rPr>
              <w:t>014</w:t>
            </w:r>
            <w:r>
              <w:rPr>
                <w:rFonts w:ascii="Times New Roman" w:eastAsia="Times New Roman"/>
                <w:color w:val="auto"/>
                <w:spacing w:val="3"/>
                <w:sz w:val="21"/>
                <w:highlight w:val="none"/>
                <w:lang w:eastAsia="zh-CN"/>
              </w:rPr>
              <w:t xml:space="preserve"> </w:t>
            </w:r>
            <w:r>
              <w:rPr>
                <w:color w:val="auto"/>
                <w:sz w:val="21"/>
                <w:highlight w:val="none"/>
                <w:lang w:eastAsia="zh-CN"/>
              </w:rPr>
              <w:t>蔬</w:t>
            </w:r>
          </w:p>
          <w:p w14:paraId="4C9351FE">
            <w:pPr>
              <w:pStyle w:val="44"/>
              <w:spacing w:before="8" w:line="213" w:lineRule="auto"/>
              <w:ind w:left="109" w:right="96"/>
              <w:jc w:val="both"/>
              <w:rPr>
                <w:rFonts w:hint="eastAsia"/>
                <w:color w:val="auto"/>
                <w:sz w:val="21"/>
                <w:highlight w:val="none"/>
                <w:lang w:eastAsia="zh-CN"/>
              </w:rPr>
            </w:pPr>
            <w:r>
              <w:rPr>
                <w:color w:val="auto"/>
                <w:spacing w:val="-6"/>
                <w:sz w:val="21"/>
                <w:highlight w:val="none"/>
                <w:lang w:eastAsia="zh-CN"/>
              </w:rPr>
              <w:t>菜、食用菌及园艺作物种植</w:t>
            </w:r>
          </w:p>
        </w:tc>
        <w:tc>
          <w:tcPr>
            <w:tcW w:w="1021" w:type="dxa"/>
          </w:tcPr>
          <w:p w14:paraId="4ABD6C18">
            <w:pPr>
              <w:pStyle w:val="44"/>
              <w:spacing w:before="1"/>
              <w:jc w:val="left"/>
              <w:rPr>
                <w:rFonts w:hint="eastAsia" w:ascii="微软雅黑"/>
                <w:b/>
                <w:color w:val="auto"/>
                <w:sz w:val="20"/>
                <w:highlight w:val="none"/>
                <w:lang w:eastAsia="zh-CN"/>
              </w:rPr>
            </w:pPr>
          </w:p>
          <w:p w14:paraId="5FE8A0FE">
            <w:pPr>
              <w:pStyle w:val="44"/>
              <w:spacing w:before="1" w:line="255" w:lineRule="exact"/>
              <w:ind w:left="83"/>
              <w:jc w:val="left"/>
              <w:rPr>
                <w:rFonts w:hint="eastAsia"/>
                <w:color w:val="auto"/>
                <w:sz w:val="21"/>
                <w:highlight w:val="none"/>
              </w:rPr>
            </w:pPr>
            <w:r>
              <w:rPr>
                <w:rFonts w:ascii="Times New Roman" w:eastAsia="Times New Roman"/>
                <w:color w:val="auto"/>
                <w:sz w:val="21"/>
                <w:highlight w:val="none"/>
              </w:rPr>
              <w:t>0141</w:t>
            </w:r>
            <w:r>
              <w:rPr>
                <w:rFonts w:ascii="Times New Roman" w:eastAsia="Times New Roman"/>
                <w:color w:val="auto"/>
                <w:spacing w:val="1"/>
                <w:sz w:val="21"/>
                <w:highlight w:val="none"/>
              </w:rPr>
              <w:t xml:space="preserve"> </w:t>
            </w:r>
            <w:r>
              <w:rPr>
                <w:color w:val="auto"/>
                <w:sz w:val="21"/>
                <w:highlight w:val="none"/>
              </w:rPr>
              <w:t>蔬</w:t>
            </w:r>
          </w:p>
          <w:p w14:paraId="7A752D07">
            <w:pPr>
              <w:pStyle w:val="44"/>
              <w:spacing w:line="255" w:lineRule="exact"/>
              <w:ind w:left="107"/>
              <w:jc w:val="left"/>
              <w:rPr>
                <w:rFonts w:hint="eastAsia"/>
                <w:color w:val="auto"/>
                <w:sz w:val="21"/>
                <w:highlight w:val="none"/>
              </w:rPr>
            </w:pPr>
            <w:r>
              <w:rPr>
                <w:color w:val="auto"/>
                <w:sz w:val="21"/>
                <w:highlight w:val="none"/>
              </w:rPr>
              <w:t>菜种植</w:t>
            </w:r>
          </w:p>
        </w:tc>
        <w:tc>
          <w:tcPr>
            <w:tcW w:w="851" w:type="dxa"/>
          </w:tcPr>
          <w:p w14:paraId="7C4D4FF0">
            <w:pPr>
              <w:pStyle w:val="44"/>
              <w:spacing w:before="6"/>
              <w:jc w:val="left"/>
              <w:rPr>
                <w:rFonts w:hint="eastAsia" w:ascii="微软雅黑"/>
                <w:b/>
                <w:color w:val="auto"/>
                <w:sz w:val="21"/>
                <w:highlight w:val="none"/>
              </w:rPr>
            </w:pPr>
          </w:p>
          <w:p w14:paraId="3D00A7B1">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5D2E14BB">
            <w:pPr>
              <w:pStyle w:val="44"/>
              <w:spacing w:before="11"/>
              <w:jc w:val="left"/>
              <w:rPr>
                <w:rFonts w:hint="eastAsia" w:ascii="微软雅黑"/>
                <w:b/>
                <w:color w:val="auto"/>
                <w:sz w:val="26"/>
                <w:highlight w:val="none"/>
                <w:lang w:eastAsia="zh-CN"/>
              </w:rPr>
            </w:pPr>
          </w:p>
          <w:p w14:paraId="4BDE2532">
            <w:pPr>
              <w:pStyle w:val="44"/>
              <w:ind w:left="26"/>
              <w:jc w:val="left"/>
              <w:rPr>
                <w:rFonts w:hint="eastAsia"/>
                <w:color w:val="auto"/>
                <w:sz w:val="21"/>
                <w:highlight w:val="none"/>
                <w:lang w:eastAsia="zh-CN"/>
              </w:rPr>
            </w:pPr>
            <w:r>
              <w:rPr>
                <w:color w:val="auto"/>
                <w:sz w:val="21"/>
                <w:highlight w:val="none"/>
                <w:lang w:eastAsia="zh-CN"/>
              </w:rPr>
              <w:t xml:space="preserve">禁止在坡度大于 </w:t>
            </w:r>
            <w:r>
              <w:rPr>
                <w:rFonts w:ascii="Times New Roman" w:eastAsia="Times New Roman"/>
                <w:color w:val="auto"/>
                <w:sz w:val="21"/>
                <w:highlight w:val="none"/>
                <w:lang w:eastAsia="zh-CN"/>
              </w:rPr>
              <w:t xml:space="preserve">25 </w:t>
            </w:r>
            <w:r>
              <w:rPr>
                <w:color w:val="auto"/>
                <w:sz w:val="21"/>
                <w:highlight w:val="none"/>
                <w:lang w:eastAsia="zh-CN"/>
              </w:rPr>
              <w:t>度的陡坡地开荒种植</w:t>
            </w:r>
          </w:p>
        </w:tc>
        <w:tc>
          <w:tcPr>
            <w:tcW w:w="2333" w:type="dxa"/>
          </w:tcPr>
          <w:p w14:paraId="2445D225">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w:t>
            </w:r>
          </w:p>
          <w:p w14:paraId="259BAD42">
            <w:pPr>
              <w:pStyle w:val="44"/>
              <w:spacing w:before="2"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1CFDD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416" w:type="dxa"/>
          </w:tcPr>
          <w:p w14:paraId="5AC4295B">
            <w:pPr>
              <w:pStyle w:val="44"/>
              <w:spacing w:before="6"/>
              <w:jc w:val="left"/>
              <w:rPr>
                <w:rFonts w:hint="eastAsia" w:ascii="微软雅黑"/>
                <w:b/>
                <w:color w:val="auto"/>
                <w:sz w:val="14"/>
                <w:highlight w:val="none"/>
                <w:lang w:eastAsia="zh-CN"/>
              </w:rPr>
            </w:pPr>
          </w:p>
          <w:p w14:paraId="32737288">
            <w:pPr>
              <w:pStyle w:val="44"/>
              <w:ind w:right="142"/>
              <w:jc w:val="right"/>
              <w:rPr>
                <w:rFonts w:hint="eastAsia" w:ascii="Times New Roman"/>
                <w:color w:val="auto"/>
                <w:sz w:val="21"/>
                <w:highlight w:val="none"/>
              </w:rPr>
            </w:pPr>
            <w:r>
              <w:rPr>
                <w:rFonts w:ascii="Times New Roman"/>
                <w:color w:val="auto"/>
                <w:sz w:val="21"/>
                <w:highlight w:val="none"/>
              </w:rPr>
              <w:t>4</w:t>
            </w:r>
          </w:p>
        </w:tc>
        <w:tc>
          <w:tcPr>
            <w:tcW w:w="708" w:type="dxa"/>
            <w:vMerge w:val="continue"/>
            <w:tcBorders>
              <w:top w:val="nil"/>
            </w:tcBorders>
          </w:tcPr>
          <w:p w14:paraId="11FDA985">
            <w:pPr>
              <w:rPr>
                <w:rFonts w:hint="eastAsia"/>
                <w:color w:val="auto"/>
                <w:sz w:val="2"/>
                <w:szCs w:val="2"/>
                <w:highlight w:val="none"/>
              </w:rPr>
            </w:pPr>
          </w:p>
        </w:tc>
        <w:tc>
          <w:tcPr>
            <w:tcW w:w="708" w:type="dxa"/>
            <w:vMerge w:val="continue"/>
            <w:tcBorders>
              <w:top w:val="nil"/>
            </w:tcBorders>
          </w:tcPr>
          <w:p w14:paraId="4B5D0C30">
            <w:pPr>
              <w:rPr>
                <w:rFonts w:hint="eastAsia"/>
                <w:color w:val="auto"/>
                <w:sz w:val="2"/>
                <w:szCs w:val="2"/>
                <w:highlight w:val="none"/>
              </w:rPr>
            </w:pPr>
          </w:p>
        </w:tc>
        <w:tc>
          <w:tcPr>
            <w:tcW w:w="852" w:type="dxa"/>
            <w:vMerge w:val="continue"/>
            <w:tcBorders>
              <w:top w:val="nil"/>
            </w:tcBorders>
          </w:tcPr>
          <w:p w14:paraId="4BA9621B">
            <w:pPr>
              <w:rPr>
                <w:rFonts w:hint="eastAsia"/>
                <w:color w:val="auto"/>
                <w:sz w:val="2"/>
                <w:szCs w:val="2"/>
                <w:highlight w:val="none"/>
              </w:rPr>
            </w:pPr>
          </w:p>
        </w:tc>
        <w:tc>
          <w:tcPr>
            <w:tcW w:w="1021" w:type="dxa"/>
          </w:tcPr>
          <w:p w14:paraId="3C258964">
            <w:pPr>
              <w:pStyle w:val="44"/>
              <w:spacing w:before="10" w:line="255" w:lineRule="exact"/>
              <w:ind w:left="63" w:right="52"/>
              <w:rPr>
                <w:rFonts w:hint="eastAsia"/>
                <w:color w:val="auto"/>
                <w:sz w:val="21"/>
                <w:highlight w:val="none"/>
              </w:rPr>
            </w:pPr>
            <w:r>
              <w:rPr>
                <w:rFonts w:ascii="Times New Roman" w:eastAsia="Times New Roman"/>
                <w:color w:val="auto"/>
                <w:sz w:val="21"/>
                <w:highlight w:val="none"/>
              </w:rPr>
              <w:t xml:space="preserve">0142 </w:t>
            </w:r>
            <w:r>
              <w:rPr>
                <w:color w:val="auto"/>
                <w:sz w:val="21"/>
                <w:highlight w:val="none"/>
              </w:rPr>
              <w:t>食</w:t>
            </w:r>
          </w:p>
          <w:p w14:paraId="0714842B">
            <w:pPr>
              <w:pStyle w:val="44"/>
              <w:spacing w:before="9" w:line="213" w:lineRule="auto"/>
              <w:ind w:left="107" w:right="98"/>
              <w:rPr>
                <w:rFonts w:hint="eastAsia"/>
                <w:color w:val="auto"/>
                <w:sz w:val="21"/>
                <w:highlight w:val="none"/>
              </w:rPr>
            </w:pPr>
            <w:r>
              <w:rPr>
                <w:color w:val="auto"/>
                <w:sz w:val="21"/>
                <w:highlight w:val="none"/>
              </w:rPr>
              <w:t>用菌种植</w:t>
            </w:r>
          </w:p>
        </w:tc>
        <w:tc>
          <w:tcPr>
            <w:tcW w:w="851" w:type="dxa"/>
          </w:tcPr>
          <w:p w14:paraId="391F19FF">
            <w:pPr>
              <w:pStyle w:val="44"/>
              <w:spacing w:before="153"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79352433">
            <w:pPr>
              <w:pStyle w:val="44"/>
              <w:spacing w:before="10"/>
              <w:jc w:val="left"/>
              <w:rPr>
                <w:rFonts w:hint="eastAsia" w:ascii="微软雅黑"/>
                <w:b/>
                <w:color w:val="auto"/>
                <w:sz w:val="13"/>
                <w:highlight w:val="none"/>
                <w:lang w:eastAsia="zh-CN"/>
              </w:rPr>
            </w:pPr>
          </w:p>
          <w:p w14:paraId="06BAAD32">
            <w:pPr>
              <w:pStyle w:val="44"/>
              <w:spacing w:before="1"/>
              <w:ind w:left="26"/>
              <w:jc w:val="left"/>
              <w:rPr>
                <w:rFonts w:hint="eastAsia"/>
                <w:color w:val="auto"/>
                <w:sz w:val="21"/>
                <w:highlight w:val="none"/>
                <w:lang w:eastAsia="zh-CN"/>
              </w:rPr>
            </w:pPr>
            <w:r>
              <w:rPr>
                <w:color w:val="auto"/>
                <w:sz w:val="21"/>
                <w:highlight w:val="none"/>
                <w:lang w:eastAsia="zh-CN"/>
              </w:rPr>
              <w:t>禁止采伐水源涵养林种植食用菌</w:t>
            </w:r>
          </w:p>
        </w:tc>
        <w:tc>
          <w:tcPr>
            <w:tcW w:w="2333" w:type="dxa"/>
          </w:tcPr>
          <w:p w14:paraId="42930399">
            <w:pPr>
              <w:pStyle w:val="44"/>
              <w:spacing w:before="153"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59431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50A419EB">
            <w:pPr>
              <w:pStyle w:val="44"/>
              <w:spacing w:before="7"/>
              <w:jc w:val="left"/>
              <w:rPr>
                <w:rFonts w:hint="eastAsia" w:ascii="微软雅黑"/>
                <w:b/>
                <w:color w:val="auto"/>
                <w:sz w:val="27"/>
                <w:highlight w:val="none"/>
                <w:lang w:eastAsia="zh-CN"/>
              </w:rPr>
            </w:pPr>
          </w:p>
          <w:p w14:paraId="42831DBE">
            <w:pPr>
              <w:pStyle w:val="44"/>
              <w:ind w:right="142"/>
              <w:jc w:val="right"/>
              <w:rPr>
                <w:rFonts w:hint="eastAsia" w:ascii="Times New Roman"/>
                <w:color w:val="auto"/>
                <w:sz w:val="21"/>
                <w:highlight w:val="none"/>
              </w:rPr>
            </w:pPr>
            <w:r>
              <w:rPr>
                <w:rFonts w:ascii="Times New Roman"/>
                <w:color w:val="auto"/>
                <w:sz w:val="21"/>
                <w:highlight w:val="none"/>
              </w:rPr>
              <w:t>5</w:t>
            </w:r>
          </w:p>
        </w:tc>
        <w:tc>
          <w:tcPr>
            <w:tcW w:w="708" w:type="dxa"/>
            <w:vMerge w:val="continue"/>
            <w:tcBorders>
              <w:top w:val="nil"/>
            </w:tcBorders>
          </w:tcPr>
          <w:p w14:paraId="3B18E5E7">
            <w:pPr>
              <w:rPr>
                <w:rFonts w:hint="eastAsia"/>
                <w:color w:val="auto"/>
                <w:sz w:val="2"/>
                <w:szCs w:val="2"/>
                <w:highlight w:val="none"/>
              </w:rPr>
            </w:pPr>
          </w:p>
        </w:tc>
        <w:tc>
          <w:tcPr>
            <w:tcW w:w="708" w:type="dxa"/>
            <w:vMerge w:val="continue"/>
            <w:tcBorders>
              <w:top w:val="nil"/>
            </w:tcBorders>
          </w:tcPr>
          <w:p w14:paraId="4538ADA1">
            <w:pPr>
              <w:rPr>
                <w:rFonts w:hint="eastAsia"/>
                <w:color w:val="auto"/>
                <w:sz w:val="2"/>
                <w:szCs w:val="2"/>
                <w:highlight w:val="none"/>
              </w:rPr>
            </w:pPr>
          </w:p>
        </w:tc>
        <w:tc>
          <w:tcPr>
            <w:tcW w:w="852" w:type="dxa"/>
          </w:tcPr>
          <w:p w14:paraId="2A69C3BE">
            <w:pPr>
              <w:pStyle w:val="44"/>
              <w:spacing w:before="7"/>
              <w:jc w:val="left"/>
              <w:rPr>
                <w:rFonts w:hint="eastAsia" w:ascii="微软雅黑"/>
                <w:b/>
                <w:color w:val="auto"/>
                <w:sz w:val="21"/>
                <w:highlight w:val="none"/>
              </w:rPr>
            </w:pPr>
          </w:p>
          <w:p w14:paraId="36872A17">
            <w:pPr>
              <w:pStyle w:val="44"/>
              <w:spacing w:line="213" w:lineRule="auto"/>
              <w:ind w:left="215" w:right="22" w:hanging="185"/>
              <w:jc w:val="left"/>
              <w:rPr>
                <w:rFonts w:hint="eastAsia"/>
                <w:color w:val="auto"/>
                <w:sz w:val="21"/>
                <w:highlight w:val="none"/>
              </w:rPr>
            </w:pPr>
            <w:r>
              <w:rPr>
                <w:rFonts w:ascii="Times New Roman" w:eastAsia="Times New Roman"/>
                <w:color w:val="auto"/>
                <w:sz w:val="21"/>
                <w:highlight w:val="none"/>
              </w:rPr>
              <w:t xml:space="preserve">015 </w:t>
            </w:r>
            <w:r>
              <w:rPr>
                <w:color w:val="auto"/>
                <w:sz w:val="21"/>
                <w:highlight w:val="none"/>
              </w:rPr>
              <w:t>水果种植</w:t>
            </w:r>
          </w:p>
        </w:tc>
        <w:tc>
          <w:tcPr>
            <w:tcW w:w="1021" w:type="dxa"/>
          </w:tcPr>
          <w:p w14:paraId="7A667491">
            <w:pPr>
              <w:pStyle w:val="44"/>
              <w:spacing w:before="10"/>
              <w:jc w:val="left"/>
              <w:rPr>
                <w:rFonts w:hint="eastAsia" w:ascii="微软雅黑"/>
                <w:b/>
                <w:color w:val="auto"/>
                <w:sz w:val="13"/>
                <w:highlight w:val="none"/>
              </w:rPr>
            </w:pPr>
          </w:p>
          <w:p w14:paraId="4792D211">
            <w:pPr>
              <w:pStyle w:val="44"/>
              <w:spacing w:before="1" w:line="255" w:lineRule="exact"/>
              <w:ind w:left="63" w:right="52"/>
              <w:rPr>
                <w:rFonts w:hint="eastAsia"/>
                <w:color w:val="auto"/>
                <w:sz w:val="21"/>
                <w:highlight w:val="none"/>
              </w:rPr>
            </w:pPr>
            <w:r>
              <w:rPr>
                <w:rFonts w:ascii="Times New Roman" w:eastAsia="Times New Roman"/>
                <w:color w:val="auto"/>
                <w:sz w:val="21"/>
                <w:highlight w:val="none"/>
              </w:rPr>
              <w:t xml:space="preserve">0153 </w:t>
            </w:r>
            <w:r>
              <w:rPr>
                <w:color w:val="auto"/>
                <w:sz w:val="21"/>
                <w:highlight w:val="none"/>
              </w:rPr>
              <w:t>柑</w:t>
            </w:r>
          </w:p>
          <w:p w14:paraId="6691A586">
            <w:pPr>
              <w:pStyle w:val="44"/>
              <w:spacing w:before="8" w:line="213" w:lineRule="auto"/>
              <w:ind w:left="107" w:right="98"/>
              <w:rPr>
                <w:rFonts w:hint="eastAsia"/>
                <w:color w:val="auto"/>
                <w:sz w:val="21"/>
                <w:highlight w:val="none"/>
              </w:rPr>
            </w:pPr>
            <w:r>
              <w:rPr>
                <w:color w:val="auto"/>
                <w:sz w:val="21"/>
                <w:highlight w:val="none"/>
              </w:rPr>
              <w:t>橘类种植</w:t>
            </w:r>
          </w:p>
        </w:tc>
        <w:tc>
          <w:tcPr>
            <w:tcW w:w="851" w:type="dxa"/>
          </w:tcPr>
          <w:p w14:paraId="7C87ED3A">
            <w:pPr>
              <w:pStyle w:val="44"/>
              <w:spacing w:before="7"/>
              <w:jc w:val="left"/>
              <w:rPr>
                <w:rFonts w:hint="eastAsia" w:ascii="微软雅黑"/>
                <w:b/>
                <w:color w:val="auto"/>
                <w:sz w:val="21"/>
                <w:highlight w:val="none"/>
              </w:rPr>
            </w:pPr>
          </w:p>
          <w:p w14:paraId="05A4CB53">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1E18EF5E">
            <w:pPr>
              <w:pStyle w:val="44"/>
              <w:spacing w:before="11"/>
              <w:jc w:val="left"/>
              <w:rPr>
                <w:rFonts w:hint="eastAsia" w:ascii="微软雅黑"/>
                <w:b/>
                <w:color w:val="auto"/>
                <w:sz w:val="26"/>
                <w:highlight w:val="none"/>
                <w:lang w:eastAsia="zh-CN"/>
              </w:rPr>
            </w:pPr>
          </w:p>
          <w:p w14:paraId="3DA3B62D">
            <w:pPr>
              <w:pStyle w:val="44"/>
              <w:ind w:left="26"/>
              <w:jc w:val="left"/>
              <w:rPr>
                <w:rFonts w:hint="eastAsia"/>
                <w:color w:val="auto"/>
                <w:sz w:val="21"/>
                <w:highlight w:val="none"/>
                <w:lang w:eastAsia="zh-CN"/>
              </w:rPr>
            </w:pPr>
            <w:r>
              <w:rPr>
                <w:color w:val="auto"/>
                <w:sz w:val="21"/>
                <w:highlight w:val="none"/>
                <w:lang w:eastAsia="zh-CN"/>
              </w:rPr>
              <w:t xml:space="preserve">禁止在坡度大于 </w:t>
            </w:r>
            <w:r>
              <w:rPr>
                <w:rFonts w:ascii="Times New Roman" w:eastAsia="Times New Roman"/>
                <w:color w:val="auto"/>
                <w:sz w:val="21"/>
                <w:highlight w:val="none"/>
                <w:lang w:eastAsia="zh-CN"/>
              </w:rPr>
              <w:t xml:space="preserve">25 </w:t>
            </w:r>
            <w:r>
              <w:rPr>
                <w:color w:val="auto"/>
                <w:sz w:val="21"/>
                <w:highlight w:val="none"/>
                <w:lang w:eastAsia="zh-CN"/>
              </w:rPr>
              <w:t>度的陡坡地开荒种植</w:t>
            </w:r>
          </w:p>
        </w:tc>
        <w:tc>
          <w:tcPr>
            <w:tcW w:w="2333" w:type="dxa"/>
          </w:tcPr>
          <w:p w14:paraId="4C90ABB2">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w:t>
            </w:r>
          </w:p>
          <w:p w14:paraId="6517B337">
            <w:pPr>
              <w:pStyle w:val="44"/>
              <w:spacing w:before="2"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1AD78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416" w:type="dxa"/>
          </w:tcPr>
          <w:p w14:paraId="7F2A6E26">
            <w:pPr>
              <w:pStyle w:val="44"/>
              <w:spacing w:before="6"/>
              <w:jc w:val="left"/>
              <w:rPr>
                <w:rFonts w:hint="eastAsia" w:ascii="微软雅黑"/>
                <w:b/>
                <w:color w:val="auto"/>
                <w:sz w:val="27"/>
                <w:highlight w:val="none"/>
                <w:lang w:eastAsia="zh-CN"/>
              </w:rPr>
            </w:pPr>
          </w:p>
          <w:p w14:paraId="19D0943B">
            <w:pPr>
              <w:pStyle w:val="44"/>
              <w:spacing w:before="1"/>
              <w:ind w:right="142"/>
              <w:jc w:val="right"/>
              <w:rPr>
                <w:rFonts w:hint="eastAsia" w:ascii="Times New Roman"/>
                <w:color w:val="auto"/>
                <w:sz w:val="21"/>
                <w:highlight w:val="none"/>
              </w:rPr>
            </w:pPr>
            <w:r>
              <w:rPr>
                <w:rFonts w:ascii="Times New Roman"/>
                <w:color w:val="auto"/>
                <w:sz w:val="21"/>
                <w:highlight w:val="none"/>
              </w:rPr>
              <w:t>6</w:t>
            </w:r>
          </w:p>
        </w:tc>
        <w:tc>
          <w:tcPr>
            <w:tcW w:w="708" w:type="dxa"/>
            <w:vMerge w:val="continue"/>
            <w:tcBorders>
              <w:top w:val="nil"/>
            </w:tcBorders>
          </w:tcPr>
          <w:p w14:paraId="71D3489D">
            <w:pPr>
              <w:rPr>
                <w:rFonts w:hint="eastAsia"/>
                <w:color w:val="auto"/>
                <w:sz w:val="2"/>
                <w:szCs w:val="2"/>
                <w:highlight w:val="none"/>
              </w:rPr>
            </w:pPr>
          </w:p>
        </w:tc>
        <w:tc>
          <w:tcPr>
            <w:tcW w:w="708" w:type="dxa"/>
            <w:vMerge w:val="continue"/>
            <w:tcBorders>
              <w:top w:val="nil"/>
            </w:tcBorders>
          </w:tcPr>
          <w:p w14:paraId="51959D2E">
            <w:pPr>
              <w:rPr>
                <w:rFonts w:hint="eastAsia"/>
                <w:color w:val="auto"/>
                <w:sz w:val="2"/>
                <w:szCs w:val="2"/>
                <w:highlight w:val="none"/>
              </w:rPr>
            </w:pPr>
          </w:p>
        </w:tc>
        <w:tc>
          <w:tcPr>
            <w:tcW w:w="852" w:type="dxa"/>
          </w:tcPr>
          <w:p w14:paraId="73BBC826">
            <w:pPr>
              <w:pStyle w:val="44"/>
              <w:spacing w:before="6"/>
              <w:jc w:val="left"/>
              <w:rPr>
                <w:rFonts w:hint="eastAsia" w:ascii="微软雅黑"/>
                <w:b/>
                <w:color w:val="auto"/>
                <w:sz w:val="21"/>
                <w:highlight w:val="none"/>
              </w:rPr>
            </w:pPr>
          </w:p>
          <w:p w14:paraId="05FA3CDD">
            <w:pPr>
              <w:pStyle w:val="44"/>
              <w:spacing w:line="213" w:lineRule="auto"/>
              <w:ind w:left="109" w:right="22" w:hanging="80"/>
              <w:jc w:val="left"/>
              <w:rPr>
                <w:rFonts w:hint="eastAsia"/>
                <w:color w:val="auto"/>
                <w:sz w:val="21"/>
                <w:highlight w:val="none"/>
              </w:rPr>
            </w:pPr>
            <w:r>
              <w:rPr>
                <w:rFonts w:ascii="Times New Roman" w:eastAsia="Times New Roman"/>
                <w:color w:val="auto"/>
                <w:sz w:val="21"/>
                <w:highlight w:val="none"/>
              </w:rPr>
              <w:t xml:space="preserve">017 </w:t>
            </w:r>
            <w:r>
              <w:rPr>
                <w:color w:val="auto"/>
                <w:sz w:val="21"/>
                <w:highlight w:val="none"/>
              </w:rPr>
              <w:t>中药材种植</w:t>
            </w:r>
          </w:p>
        </w:tc>
        <w:tc>
          <w:tcPr>
            <w:tcW w:w="1021" w:type="dxa"/>
          </w:tcPr>
          <w:p w14:paraId="6BFDA2DB">
            <w:pPr>
              <w:pStyle w:val="44"/>
              <w:spacing w:before="10"/>
              <w:jc w:val="left"/>
              <w:rPr>
                <w:rFonts w:hint="eastAsia" w:ascii="微软雅黑"/>
                <w:b/>
                <w:color w:val="auto"/>
                <w:sz w:val="13"/>
                <w:highlight w:val="none"/>
              </w:rPr>
            </w:pPr>
          </w:p>
          <w:p w14:paraId="7C5D8AB7">
            <w:pPr>
              <w:pStyle w:val="44"/>
              <w:spacing w:before="1" w:line="255" w:lineRule="exact"/>
              <w:ind w:left="63" w:right="52"/>
              <w:rPr>
                <w:rFonts w:hint="eastAsia"/>
                <w:color w:val="auto"/>
                <w:sz w:val="21"/>
                <w:highlight w:val="none"/>
              </w:rPr>
            </w:pPr>
            <w:r>
              <w:rPr>
                <w:rFonts w:ascii="Times New Roman" w:eastAsia="Times New Roman"/>
                <w:color w:val="auto"/>
                <w:sz w:val="21"/>
                <w:highlight w:val="none"/>
              </w:rPr>
              <w:t xml:space="preserve">0171 </w:t>
            </w:r>
            <w:r>
              <w:rPr>
                <w:color w:val="auto"/>
                <w:sz w:val="21"/>
                <w:highlight w:val="none"/>
              </w:rPr>
              <w:t>中</w:t>
            </w:r>
          </w:p>
          <w:p w14:paraId="2B9F82B2">
            <w:pPr>
              <w:pStyle w:val="44"/>
              <w:spacing w:before="8" w:line="213" w:lineRule="auto"/>
              <w:ind w:left="107" w:right="98"/>
              <w:rPr>
                <w:rFonts w:hint="eastAsia"/>
                <w:color w:val="auto"/>
                <w:sz w:val="21"/>
                <w:highlight w:val="none"/>
              </w:rPr>
            </w:pPr>
            <w:r>
              <w:rPr>
                <w:color w:val="auto"/>
                <w:sz w:val="21"/>
                <w:highlight w:val="none"/>
              </w:rPr>
              <w:t>草药种植</w:t>
            </w:r>
          </w:p>
        </w:tc>
        <w:tc>
          <w:tcPr>
            <w:tcW w:w="851" w:type="dxa"/>
          </w:tcPr>
          <w:p w14:paraId="2165B604">
            <w:pPr>
              <w:pStyle w:val="44"/>
              <w:spacing w:before="6"/>
              <w:jc w:val="left"/>
              <w:rPr>
                <w:rFonts w:hint="eastAsia" w:ascii="微软雅黑"/>
                <w:b/>
                <w:color w:val="auto"/>
                <w:sz w:val="21"/>
                <w:highlight w:val="none"/>
              </w:rPr>
            </w:pPr>
          </w:p>
          <w:p w14:paraId="560478A4">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04950678">
            <w:pPr>
              <w:pStyle w:val="44"/>
              <w:spacing w:before="11"/>
              <w:jc w:val="left"/>
              <w:rPr>
                <w:rFonts w:hint="eastAsia" w:ascii="微软雅黑"/>
                <w:b/>
                <w:color w:val="auto"/>
                <w:sz w:val="26"/>
                <w:highlight w:val="none"/>
                <w:lang w:eastAsia="zh-CN"/>
              </w:rPr>
            </w:pPr>
          </w:p>
          <w:p w14:paraId="6425E9BB">
            <w:pPr>
              <w:pStyle w:val="44"/>
              <w:ind w:left="26"/>
              <w:jc w:val="left"/>
              <w:rPr>
                <w:rFonts w:hint="eastAsia"/>
                <w:color w:val="auto"/>
                <w:sz w:val="21"/>
                <w:highlight w:val="none"/>
                <w:lang w:eastAsia="zh-CN"/>
              </w:rPr>
            </w:pPr>
            <w:r>
              <w:rPr>
                <w:color w:val="auto"/>
                <w:sz w:val="21"/>
                <w:highlight w:val="none"/>
                <w:lang w:eastAsia="zh-CN"/>
              </w:rPr>
              <w:t xml:space="preserve">禁止在坡度大于 </w:t>
            </w:r>
            <w:r>
              <w:rPr>
                <w:rFonts w:ascii="Times New Roman" w:eastAsia="Times New Roman"/>
                <w:color w:val="auto"/>
                <w:sz w:val="21"/>
                <w:highlight w:val="none"/>
                <w:lang w:eastAsia="zh-CN"/>
              </w:rPr>
              <w:t xml:space="preserve">25 </w:t>
            </w:r>
            <w:r>
              <w:rPr>
                <w:color w:val="auto"/>
                <w:sz w:val="21"/>
                <w:highlight w:val="none"/>
                <w:lang w:eastAsia="zh-CN"/>
              </w:rPr>
              <w:t>度的陡坡地开荒种植</w:t>
            </w:r>
          </w:p>
        </w:tc>
        <w:tc>
          <w:tcPr>
            <w:tcW w:w="2333" w:type="dxa"/>
          </w:tcPr>
          <w:p w14:paraId="1D84975B">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w:t>
            </w:r>
          </w:p>
          <w:p w14:paraId="02AF5188">
            <w:pPr>
              <w:pStyle w:val="44"/>
              <w:spacing w:before="2"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1BCC7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5A9E35C1">
            <w:pPr>
              <w:pStyle w:val="44"/>
              <w:spacing w:before="6"/>
              <w:jc w:val="left"/>
              <w:rPr>
                <w:rFonts w:hint="eastAsia" w:ascii="微软雅黑"/>
                <w:b/>
                <w:color w:val="auto"/>
                <w:sz w:val="27"/>
                <w:highlight w:val="none"/>
                <w:lang w:eastAsia="zh-CN"/>
              </w:rPr>
            </w:pPr>
          </w:p>
          <w:p w14:paraId="028118DD">
            <w:pPr>
              <w:pStyle w:val="44"/>
              <w:spacing w:before="1"/>
              <w:ind w:right="142"/>
              <w:jc w:val="right"/>
              <w:rPr>
                <w:rFonts w:hint="eastAsia" w:ascii="Times New Roman"/>
                <w:color w:val="auto"/>
                <w:sz w:val="21"/>
                <w:highlight w:val="none"/>
              </w:rPr>
            </w:pPr>
            <w:r>
              <w:rPr>
                <w:rFonts w:ascii="Times New Roman"/>
                <w:color w:val="auto"/>
                <w:sz w:val="21"/>
                <w:highlight w:val="none"/>
              </w:rPr>
              <w:t>7</w:t>
            </w:r>
          </w:p>
        </w:tc>
        <w:tc>
          <w:tcPr>
            <w:tcW w:w="708" w:type="dxa"/>
            <w:vMerge w:val="continue"/>
            <w:tcBorders>
              <w:top w:val="nil"/>
            </w:tcBorders>
          </w:tcPr>
          <w:p w14:paraId="2DA39168">
            <w:pPr>
              <w:rPr>
                <w:rFonts w:hint="eastAsia"/>
                <w:color w:val="auto"/>
                <w:sz w:val="2"/>
                <w:szCs w:val="2"/>
                <w:highlight w:val="none"/>
              </w:rPr>
            </w:pPr>
          </w:p>
        </w:tc>
        <w:tc>
          <w:tcPr>
            <w:tcW w:w="708" w:type="dxa"/>
          </w:tcPr>
          <w:p w14:paraId="770E0252">
            <w:pPr>
              <w:pStyle w:val="44"/>
              <w:spacing w:before="6"/>
              <w:jc w:val="left"/>
              <w:rPr>
                <w:rFonts w:hint="eastAsia" w:ascii="微软雅黑"/>
                <w:b/>
                <w:color w:val="auto"/>
                <w:sz w:val="21"/>
                <w:highlight w:val="none"/>
              </w:rPr>
            </w:pPr>
          </w:p>
          <w:p w14:paraId="6F7BF5D4">
            <w:pPr>
              <w:pStyle w:val="44"/>
              <w:spacing w:line="213" w:lineRule="auto"/>
              <w:ind w:left="249" w:right="103" w:hanging="132"/>
              <w:jc w:val="left"/>
              <w:rPr>
                <w:rFonts w:hint="eastAsia"/>
                <w:color w:val="auto"/>
                <w:sz w:val="21"/>
                <w:highlight w:val="none"/>
              </w:rPr>
            </w:pPr>
            <w:r>
              <w:rPr>
                <w:rFonts w:ascii="Times New Roman" w:eastAsia="Times New Roman"/>
                <w:color w:val="auto"/>
                <w:sz w:val="21"/>
                <w:highlight w:val="none"/>
              </w:rPr>
              <w:t xml:space="preserve">02 </w:t>
            </w:r>
            <w:r>
              <w:rPr>
                <w:color w:val="auto"/>
                <w:sz w:val="21"/>
                <w:highlight w:val="none"/>
              </w:rPr>
              <w:t>林业</w:t>
            </w:r>
          </w:p>
        </w:tc>
        <w:tc>
          <w:tcPr>
            <w:tcW w:w="852" w:type="dxa"/>
          </w:tcPr>
          <w:p w14:paraId="0192B18B">
            <w:pPr>
              <w:pStyle w:val="44"/>
              <w:spacing w:before="6"/>
              <w:jc w:val="left"/>
              <w:rPr>
                <w:rFonts w:hint="eastAsia" w:ascii="微软雅黑"/>
                <w:b/>
                <w:color w:val="auto"/>
                <w:sz w:val="21"/>
                <w:highlight w:val="none"/>
              </w:rPr>
            </w:pPr>
          </w:p>
          <w:p w14:paraId="73B1C7C8">
            <w:pPr>
              <w:pStyle w:val="44"/>
              <w:spacing w:line="213" w:lineRule="auto"/>
              <w:ind w:left="109" w:right="22" w:hanging="80"/>
              <w:jc w:val="left"/>
              <w:rPr>
                <w:rFonts w:hint="eastAsia"/>
                <w:color w:val="auto"/>
                <w:sz w:val="21"/>
                <w:highlight w:val="none"/>
              </w:rPr>
            </w:pPr>
            <w:r>
              <w:rPr>
                <w:rFonts w:ascii="Times New Roman" w:eastAsia="Times New Roman"/>
                <w:color w:val="auto"/>
                <w:sz w:val="21"/>
                <w:highlight w:val="none"/>
              </w:rPr>
              <w:t xml:space="preserve">025 </w:t>
            </w:r>
            <w:r>
              <w:rPr>
                <w:color w:val="auto"/>
                <w:sz w:val="21"/>
                <w:highlight w:val="none"/>
              </w:rPr>
              <w:t>林产品采集</w:t>
            </w:r>
          </w:p>
        </w:tc>
        <w:tc>
          <w:tcPr>
            <w:tcW w:w="1021" w:type="dxa"/>
          </w:tcPr>
          <w:p w14:paraId="064A3CE5">
            <w:pPr>
              <w:pStyle w:val="44"/>
              <w:spacing w:before="130" w:line="255" w:lineRule="exact"/>
              <w:ind w:left="63" w:right="52"/>
              <w:rPr>
                <w:rFonts w:hint="eastAsia"/>
                <w:color w:val="auto"/>
                <w:sz w:val="21"/>
                <w:highlight w:val="none"/>
              </w:rPr>
            </w:pPr>
            <w:r>
              <w:rPr>
                <w:rFonts w:ascii="Times New Roman" w:eastAsia="Times New Roman"/>
                <w:color w:val="auto"/>
                <w:sz w:val="21"/>
                <w:highlight w:val="none"/>
              </w:rPr>
              <w:t xml:space="preserve">0252 </w:t>
            </w:r>
            <w:r>
              <w:rPr>
                <w:color w:val="auto"/>
                <w:sz w:val="21"/>
                <w:highlight w:val="none"/>
              </w:rPr>
              <w:t>木</w:t>
            </w:r>
          </w:p>
          <w:p w14:paraId="690ED828">
            <w:pPr>
              <w:pStyle w:val="44"/>
              <w:spacing w:before="9" w:line="213" w:lineRule="auto"/>
              <w:ind w:left="107" w:right="98"/>
              <w:rPr>
                <w:rFonts w:hint="eastAsia"/>
                <w:color w:val="auto"/>
                <w:sz w:val="21"/>
                <w:highlight w:val="none"/>
              </w:rPr>
            </w:pPr>
            <w:r>
              <w:rPr>
                <w:color w:val="auto"/>
                <w:sz w:val="21"/>
                <w:highlight w:val="none"/>
              </w:rPr>
              <w:t>竹材林产品采集</w:t>
            </w:r>
          </w:p>
        </w:tc>
        <w:tc>
          <w:tcPr>
            <w:tcW w:w="851" w:type="dxa"/>
          </w:tcPr>
          <w:p w14:paraId="798774DB">
            <w:pPr>
              <w:pStyle w:val="44"/>
              <w:spacing w:before="6"/>
              <w:jc w:val="left"/>
              <w:rPr>
                <w:rFonts w:hint="eastAsia" w:ascii="微软雅黑"/>
                <w:b/>
                <w:color w:val="auto"/>
                <w:sz w:val="21"/>
                <w:highlight w:val="none"/>
              </w:rPr>
            </w:pPr>
          </w:p>
          <w:p w14:paraId="5C9AFF33">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413D3B4B">
            <w:pPr>
              <w:pStyle w:val="44"/>
              <w:spacing w:before="11"/>
              <w:jc w:val="left"/>
              <w:rPr>
                <w:rFonts w:hint="eastAsia" w:ascii="微软雅黑"/>
                <w:b/>
                <w:color w:val="auto"/>
                <w:sz w:val="26"/>
                <w:highlight w:val="none"/>
                <w:lang w:eastAsia="zh-CN"/>
              </w:rPr>
            </w:pPr>
          </w:p>
          <w:p w14:paraId="65187812">
            <w:pPr>
              <w:pStyle w:val="44"/>
              <w:ind w:left="26"/>
              <w:jc w:val="left"/>
              <w:rPr>
                <w:rFonts w:hint="eastAsia"/>
                <w:color w:val="auto"/>
                <w:sz w:val="21"/>
                <w:highlight w:val="none"/>
                <w:lang w:eastAsia="zh-CN"/>
              </w:rPr>
            </w:pPr>
            <w:r>
              <w:rPr>
                <w:color w:val="auto"/>
                <w:sz w:val="21"/>
                <w:highlight w:val="none"/>
                <w:lang w:eastAsia="zh-CN"/>
              </w:rPr>
              <w:t>执行森林采伐限额管理制度</w:t>
            </w:r>
          </w:p>
        </w:tc>
        <w:tc>
          <w:tcPr>
            <w:tcW w:w="2333" w:type="dxa"/>
          </w:tcPr>
          <w:p w14:paraId="76C343D8">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不利于生态环境保护的开荒性农业开发项目为</w:t>
            </w:r>
          </w:p>
          <w:p w14:paraId="3C0EB898">
            <w:pPr>
              <w:pStyle w:val="44"/>
              <w:spacing w:before="2"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6D879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416" w:type="dxa"/>
          </w:tcPr>
          <w:p w14:paraId="0D950E67">
            <w:pPr>
              <w:pStyle w:val="44"/>
              <w:spacing w:before="7"/>
              <w:jc w:val="left"/>
              <w:rPr>
                <w:rFonts w:hint="eastAsia" w:ascii="微软雅黑"/>
                <w:b/>
                <w:color w:val="auto"/>
                <w:sz w:val="27"/>
                <w:highlight w:val="none"/>
                <w:lang w:eastAsia="zh-CN"/>
              </w:rPr>
            </w:pPr>
          </w:p>
          <w:p w14:paraId="2A5633A6">
            <w:pPr>
              <w:pStyle w:val="44"/>
              <w:ind w:right="142"/>
              <w:jc w:val="right"/>
              <w:rPr>
                <w:rFonts w:hint="eastAsia" w:ascii="Times New Roman"/>
                <w:color w:val="auto"/>
                <w:sz w:val="21"/>
                <w:highlight w:val="none"/>
              </w:rPr>
            </w:pPr>
            <w:r>
              <w:rPr>
                <w:rFonts w:ascii="Times New Roman"/>
                <w:color w:val="auto"/>
                <w:sz w:val="21"/>
                <w:highlight w:val="none"/>
              </w:rPr>
              <w:t>8</w:t>
            </w:r>
          </w:p>
        </w:tc>
        <w:tc>
          <w:tcPr>
            <w:tcW w:w="708" w:type="dxa"/>
            <w:vMerge w:val="continue"/>
            <w:tcBorders>
              <w:top w:val="nil"/>
            </w:tcBorders>
          </w:tcPr>
          <w:p w14:paraId="480843EA">
            <w:pPr>
              <w:rPr>
                <w:rFonts w:hint="eastAsia"/>
                <w:color w:val="auto"/>
                <w:sz w:val="2"/>
                <w:szCs w:val="2"/>
                <w:highlight w:val="none"/>
              </w:rPr>
            </w:pPr>
          </w:p>
        </w:tc>
        <w:tc>
          <w:tcPr>
            <w:tcW w:w="708" w:type="dxa"/>
            <w:vMerge w:val="restart"/>
          </w:tcPr>
          <w:p w14:paraId="00225555">
            <w:pPr>
              <w:pStyle w:val="44"/>
              <w:jc w:val="left"/>
              <w:rPr>
                <w:rFonts w:hint="eastAsia" w:ascii="微软雅黑"/>
                <w:b/>
                <w:color w:val="auto"/>
                <w:sz w:val="20"/>
                <w:highlight w:val="none"/>
              </w:rPr>
            </w:pPr>
          </w:p>
          <w:p w14:paraId="403051E1">
            <w:pPr>
              <w:pStyle w:val="44"/>
              <w:jc w:val="left"/>
              <w:rPr>
                <w:rFonts w:hint="eastAsia" w:ascii="微软雅黑"/>
                <w:b/>
                <w:color w:val="auto"/>
                <w:sz w:val="20"/>
                <w:highlight w:val="none"/>
              </w:rPr>
            </w:pPr>
          </w:p>
          <w:p w14:paraId="18C200D4">
            <w:pPr>
              <w:pStyle w:val="44"/>
              <w:jc w:val="left"/>
              <w:rPr>
                <w:rFonts w:hint="eastAsia" w:ascii="微软雅黑"/>
                <w:b/>
                <w:color w:val="auto"/>
                <w:sz w:val="20"/>
                <w:highlight w:val="none"/>
              </w:rPr>
            </w:pPr>
          </w:p>
          <w:p w14:paraId="65A68FF1">
            <w:pPr>
              <w:pStyle w:val="44"/>
              <w:spacing w:before="18"/>
              <w:jc w:val="left"/>
              <w:rPr>
                <w:rFonts w:hint="eastAsia" w:ascii="微软雅黑"/>
                <w:b/>
                <w:color w:val="auto"/>
                <w:sz w:val="16"/>
                <w:highlight w:val="none"/>
              </w:rPr>
            </w:pPr>
          </w:p>
          <w:p w14:paraId="41ED02F7">
            <w:pPr>
              <w:pStyle w:val="44"/>
              <w:spacing w:line="213" w:lineRule="auto"/>
              <w:ind w:left="143" w:right="103" w:hanging="27"/>
              <w:jc w:val="left"/>
              <w:rPr>
                <w:rFonts w:hint="eastAsia"/>
                <w:color w:val="auto"/>
                <w:sz w:val="21"/>
                <w:highlight w:val="none"/>
              </w:rPr>
            </w:pPr>
            <w:r>
              <w:rPr>
                <w:rFonts w:ascii="Times New Roman" w:eastAsia="Times New Roman"/>
                <w:color w:val="auto"/>
                <w:sz w:val="21"/>
                <w:highlight w:val="none"/>
              </w:rPr>
              <w:t xml:space="preserve">03 </w:t>
            </w:r>
            <w:r>
              <w:rPr>
                <w:color w:val="auto"/>
                <w:sz w:val="21"/>
                <w:highlight w:val="none"/>
              </w:rPr>
              <w:t>畜牧业</w:t>
            </w:r>
          </w:p>
        </w:tc>
        <w:tc>
          <w:tcPr>
            <w:tcW w:w="852" w:type="dxa"/>
          </w:tcPr>
          <w:p w14:paraId="3C97A595">
            <w:pPr>
              <w:pStyle w:val="44"/>
              <w:spacing w:before="7"/>
              <w:jc w:val="left"/>
              <w:rPr>
                <w:rFonts w:hint="eastAsia" w:ascii="微软雅黑"/>
                <w:b/>
                <w:color w:val="auto"/>
                <w:sz w:val="21"/>
                <w:highlight w:val="none"/>
              </w:rPr>
            </w:pPr>
          </w:p>
          <w:p w14:paraId="20B81587">
            <w:pPr>
              <w:pStyle w:val="44"/>
              <w:spacing w:line="213" w:lineRule="auto"/>
              <w:ind w:left="215" w:right="22" w:hanging="185"/>
              <w:jc w:val="left"/>
              <w:rPr>
                <w:rFonts w:hint="eastAsia"/>
                <w:color w:val="auto"/>
                <w:sz w:val="21"/>
                <w:highlight w:val="none"/>
              </w:rPr>
            </w:pPr>
            <w:r>
              <w:rPr>
                <w:rFonts w:ascii="Times New Roman" w:eastAsia="Times New Roman"/>
                <w:color w:val="auto"/>
                <w:sz w:val="21"/>
                <w:highlight w:val="none"/>
              </w:rPr>
              <w:t xml:space="preserve">031 </w:t>
            </w:r>
            <w:r>
              <w:rPr>
                <w:color w:val="auto"/>
                <w:sz w:val="21"/>
                <w:highlight w:val="none"/>
              </w:rPr>
              <w:t>牲畜养殖</w:t>
            </w:r>
          </w:p>
        </w:tc>
        <w:tc>
          <w:tcPr>
            <w:tcW w:w="1021" w:type="dxa"/>
          </w:tcPr>
          <w:p w14:paraId="511EB20F">
            <w:pPr>
              <w:pStyle w:val="44"/>
              <w:spacing w:before="2"/>
              <w:jc w:val="left"/>
              <w:rPr>
                <w:rFonts w:hint="eastAsia" w:ascii="微软雅黑"/>
                <w:b/>
                <w:color w:val="auto"/>
                <w:sz w:val="20"/>
                <w:highlight w:val="none"/>
              </w:rPr>
            </w:pPr>
          </w:p>
          <w:p w14:paraId="21A1D75F">
            <w:pPr>
              <w:pStyle w:val="44"/>
              <w:spacing w:line="255" w:lineRule="exact"/>
              <w:ind w:left="83"/>
              <w:jc w:val="left"/>
              <w:rPr>
                <w:rFonts w:hint="eastAsia"/>
                <w:color w:val="auto"/>
                <w:sz w:val="21"/>
                <w:highlight w:val="none"/>
              </w:rPr>
            </w:pPr>
            <w:r>
              <w:rPr>
                <w:rFonts w:ascii="Times New Roman" w:eastAsia="Times New Roman"/>
                <w:color w:val="auto"/>
                <w:sz w:val="21"/>
                <w:highlight w:val="none"/>
              </w:rPr>
              <w:t>0313</w:t>
            </w:r>
            <w:r>
              <w:rPr>
                <w:rFonts w:ascii="Times New Roman" w:eastAsia="Times New Roman"/>
                <w:color w:val="auto"/>
                <w:spacing w:val="1"/>
                <w:sz w:val="21"/>
                <w:highlight w:val="none"/>
              </w:rPr>
              <w:t xml:space="preserve"> </w:t>
            </w:r>
            <w:r>
              <w:rPr>
                <w:color w:val="auto"/>
                <w:sz w:val="21"/>
                <w:highlight w:val="none"/>
              </w:rPr>
              <w:t>猪</w:t>
            </w:r>
          </w:p>
          <w:p w14:paraId="58D01CE5">
            <w:pPr>
              <w:pStyle w:val="44"/>
              <w:spacing w:line="255" w:lineRule="exact"/>
              <w:ind w:left="107"/>
              <w:jc w:val="left"/>
              <w:rPr>
                <w:rFonts w:hint="eastAsia"/>
                <w:color w:val="auto"/>
                <w:sz w:val="21"/>
                <w:highlight w:val="none"/>
              </w:rPr>
            </w:pPr>
            <w:r>
              <w:rPr>
                <w:color w:val="auto"/>
                <w:sz w:val="21"/>
                <w:highlight w:val="none"/>
              </w:rPr>
              <w:t>的饲养</w:t>
            </w:r>
          </w:p>
        </w:tc>
        <w:tc>
          <w:tcPr>
            <w:tcW w:w="851" w:type="dxa"/>
          </w:tcPr>
          <w:p w14:paraId="42F15EAC">
            <w:pPr>
              <w:pStyle w:val="44"/>
              <w:spacing w:before="7"/>
              <w:jc w:val="left"/>
              <w:rPr>
                <w:rFonts w:hint="eastAsia" w:ascii="微软雅黑"/>
                <w:b/>
                <w:color w:val="auto"/>
                <w:sz w:val="21"/>
                <w:highlight w:val="none"/>
              </w:rPr>
            </w:pPr>
          </w:p>
          <w:p w14:paraId="40C9D263">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1998FB01">
            <w:pPr>
              <w:pStyle w:val="44"/>
              <w:spacing w:before="7"/>
              <w:jc w:val="left"/>
              <w:rPr>
                <w:rFonts w:hint="eastAsia" w:ascii="微软雅黑"/>
                <w:b/>
                <w:color w:val="auto"/>
                <w:sz w:val="21"/>
                <w:highlight w:val="none"/>
                <w:lang w:eastAsia="zh-CN"/>
              </w:rPr>
            </w:pPr>
          </w:p>
          <w:p w14:paraId="1CE22371">
            <w:pPr>
              <w:pStyle w:val="44"/>
              <w:spacing w:line="213" w:lineRule="auto"/>
              <w:ind w:left="26" w:right="155"/>
              <w:jc w:val="left"/>
              <w:rPr>
                <w:rFonts w:hint="eastAsia"/>
                <w:color w:val="auto"/>
                <w:sz w:val="21"/>
                <w:highlight w:val="none"/>
                <w:lang w:eastAsia="zh-CN"/>
              </w:rPr>
            </w:pPr>
            <w:r>
              <w:rPr>
                <w:color w:val="auto"/>
                <w:sz w:val="21"/>
                <w:highlight w:val="none"/>
                <w:lang w:eastAsia="zh-CN"/>
              </w:rPr>
              <w:t xml:space="preserve">禁止在境内主要江河（融江、龙江）干流沿岸两侧 </w:t>
            </w:r>
            <w:r>
              <w:rPr>
                <w:rFonts w:ascii="Times New Roman" w:eastAsia="Times New Roman"/>
                <w:color w:val="auto"/>
                <w:sz w:val="21"/>
                <w:highlight w:val="none"/>
                <w:lang w:eastAsia="zh-CN"/>
              </w:rPr>
              <w:t xml:space="preserve">500 </w:t>
            </w:r>
            <w:r>
              <w:rPr>
                <w:color w:val="auto"/>
                <w:sz w:val="21"/>
                <w:highlight w:val="none"/>
                <w:lang w:eastAsia="zh-CN"/>
              </w:rPr>
              <w:t>米范围内建立猪饲养场</w:t>
            </w:r>
          </w:p>
        </w:tc>
        <w:tc>
          <w:tcPr>
            <w:tcW w:w="2333" w:type="dxa"/>
          </w:tcPr>
          <w:p w14:paraId="2A7663DE">
            <w:pPr>
              <w:pStyle w:val="44"/>
              <w:spacing w:before="34"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不利于生态环境保护的开荒性农业开发项目为</w:t>
            </w:r>
          </w:p>
          <w:p w14:paraId="1AE20FDF">
            <w:pPr>
              <w:pStyle w:val="44"/>
              <w:spacing w:before="2"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5DE26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05D6AF39">
            <w:pPr>
              <w:pStyle w:val="44"/>
              <w:spacing w:before="6"/>
              <w:jc w:val="left"/>
              <w:rPr>
                <w:rFonts w:hint="eastAsia" w:ascii="微软雅黑"/>
                <w:b/>
                <w:color w:val="auto"/>
                <w:sz w:val="27"/>
                <w:highlight w:val="none"/>
                <w:lang w:eastAsia="zh-CN"/>
              </w:rPr>
            </w:pPr>
          </w:p>
          <w:p w14:paraId="180CCFFD">
            <w:pPr>
              <w:pStyle w:val="44"/>
              <w:spacing w:before="1"/>
              <w:ind w:right="142"/>
              <w:jc w:val="right"/>
              <w:rPr>
                <w:rFonts w:hint="eastAsia" w:ascii="Times New Roman"/>
                <w:color w:val="auto"/>
                <w:sz w:val="21"/>
                <w:highlight w:val="none"/>
              </w:rPr>
            </w:pPr>
            <w:r>
              <w:rPr>
                <w:rFonts w:ascii="Times New Roman"/>
                <w:color w:val="auto"/>
                <w:sz w:val="21"/>
                <w:highlight w:val="none"/>
              </w:rPr>
              <w:t>9</w:t>
            </w:r>
          </w:p>
        </w:tc>
        <w:tc>
          <w:tcPr>
            <w:tcW w:w="708" w:type="dxa"/>
            <w:vMerge w:val="continue"/>
            <w:tcBorders>
              <w:top w:val="nil"/>
            </w:tcBorders>
          </w:tcPr>
          <w:p w14:paraId="3E93CBD1">
            <w:pPr>
              <w:rPr>
                <w:rFonts w:hint="eastAsia"/>
                <w:color w:val="auto"/>
                <w:sz w:val="2"/>
                <w:szCs w:val="2"/>
                <w:highlight w:val="none"/>
              </w:rPr>
            </w:pPr>
          </w:p>
        </w:tc>
        <w:tc>
          <w:tcPr>
            <w:tcW w:w="708" w:type="dxa"/>
            <w:vMerge w:val="continue"/>
            <w:tcBorders>
              <w:top w:val="nil"/>
            </w:tcBorders>
          </w:tcPr>
          <w:p w14:paraId="46FEDF87">
            <w:pPr>
              <w:rPr>
                <w:rFonts w:hint="eastAsia"/>
                <w:color w:val="auto"/>
                <w:sz w:val="2"/>
                <w:szCs w:val="2"/>
                <w:highlight w:val="none"/>
              </w:rPr>
            </w:pPr>
          </w:p>
        </w:tc>
        <w:tc>
          <w:tcPr>
            <w:tcW w:w="852" w:type="dxa"/>
          </w:tcPr>
          <w:p w14:paraId="3AD20646">
            <w:pPr>
              <w:pStyle w:val="44"/>
              <w:spacing w:before="6"/>
              <w:jc w:val="left"/>
              <w:rPr>
                <w:rFonts w:hint="eastAsia" w:ascii="微软雅黑"/>
                <w:b/>
                <w:color w:val="auto"/>
                <w:sz w:val="21"/>
                <w:highlight w:val="none"/>
              </w:rPr>
            </w:pPr>
          </w:p>
          <w:p w14:paraId="2647892B">
            <w:pPr>
              <w:pStyle w:val="44"/>
              <w:spacing w:line="213" w:lineRule="auto"/>
              <w:ind w:left="215" w:right="22" w:hanging="185"/>
              <w:jc w:val="left"/>
              <w:rPr>
                <w:rFonts w:hint="eastAsia"/>
                <w:color w:val="auto"/>
                <w:sz w:val="21"/>
                <w:highlight w:val="none"/>
              </w:rPr>
            </w:pPr>
            <w:r>
              <w:rPr>
                <w:rFonts w:ascii="Times New Roman" w:eastAsia="Times New Roman"/>
                <w:color w:val="auto"/>
                <w:sz w:val="21"/>
                <w:highlight w:val="none"/>
              </w:rPr>
              <w:t xml:space="preserve">032 </w:t>
            </w:r>
            <w:r>
              <w:rPr>
                <w:color w:val="auto"/>
                <w:sz w:val="21"/>
                <w:highlight w:val="none"/>
              </w:rPr>
              <w:t>家禽养殖</w:t>
            </w:r>
          </w:p>
        </w:tc>
        <w:tc>
          <w:tcPr>
            <w:tcW w:w="1021" w:type="dxa"/>
          </w:tcPr>
          <w:p w14:paraId="2165F304">
            <w:pPr>
              <w:pStyle w:val="44"/>
              <w:spacing w:before="1"/>
              <w:jc w:val="left"/>
              <w:rPr>
                <w:rFonts w:hint="eastAsia" w:ascii="微软雅黑"/>
                <w:b/>
                <w:color w:val="auto"/>
                <w:sz w:val="20"/>
                <w:highlight w:val="none"/>
              </w:rPr>
            </w:pPr>
          </w:p>
          <w:p w14:paraId="5F28A35D">
            <w:pPr>
              <w:pStyle w:val="44"/>
              <w:spacing w:before="1" w:line="255" w:lineRule="exact"/>
              <w:ind w:left="83"/>
              <w:jc w:val="left"/>
              <w:rPr>
                <w:rFonts w:hint="eastAsia"/>
                <w:color w:val="auto"/>
                <w:sz w:val="21"/>
                <w:highlight w:val="none"/>
              </w:rPr>
            </w:pPr>
            <w:r>
              <w:rPr>
                <w:rFonts w:ascii="Times New Roman" w:eastAsia="Times New Roman"/>
                <w:color w:val="auto"/>
                <w:sz w:val="21"/>
                <w:highlight w:val="none"/>
              </w:rPr>
              <w:t>0321</w:t>
            </w:r>
            <w:r>
              <w:rPr>
                <w:rFonts w:ascii="Times New Roman" w:eastAsia="Times New Roman"/>
                <w:color w:val="auto"/>
                <w:spacing w:val="1"/>
                <w:sz w:val="21"/>
                <w:highlight w:val="none"/>
              </w:rPr>
              <w:t xml:space="preserve"> </w:t>
            </w:r>
            <w:r>
              <w:rPr>
                <w:color w:val="auto"/>
                <w:sz w:val="21"/>
                <w:highlight w:val="none"/>
              </w:rPr>
              <w:t>鸡</w:t>
            </w:r>
          </w:p>
          <w:p w14:paraId="3510087E">
            <w:pPr>
              <w:pStyle w:val="44"/>
              <w:spacing w:line="255" w:lineRule="exact"/>
              <w:ind w:left="107"/>
              <w:jc w:val="left"/>
              <w:rPr>
                <w:rFonts w:hint="eastAsia"/>
                <w:color w:val="auto"/>
                <w:sz w:val="21"/>
                <w:highlight w:val="none"/>
              </w:rPr>
            </w:pPr>
            <w:r>
              <w:rPr>
                <w:color w:val="auto"/>
                <w:sz w:val="21"/>
                <w:highlight w:val="none"/>
              </w:rPr>
              <w:t>的养殖</w:t>
            </w:r>
          </w:p>
        </w:tc>
        <w:tc>
          <w:tcPr>
            <w:tcW w:w="851" w:type="dxa"/>
          </w:tcPr>
          <w:p w14:paraId="43229E38">
            <w:pPr>
              <w:pStyle w:val="44"/>
              <w:spacing w:before="6"/>
              <w:jc w:val="left"/>
              <w:rPr>
                <w:rFonts w:hint="eastAsia" w:ascii="微软雅黑"/>
                <w:b/>
                <w:color w:val="auto"/>
                <w:sz w:val="21"/>
                <w:highlight w:val="none"/>
              </w:rPr>
            </w:pPr>
          </w:p>
          <w:p w14:paraId="221C9905">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3E272404">
            <w:pPr>
              <w:pStyle w:val="44"/>
              <w:spacing w:before="6"/>
              <w:jc w:val="left"/>
              <w:rPr>
                <w:rFonts w:hint="eastAsia" w:ascii="微软雅黑"/>
                <w:b/>
                <w:color w:val="auto"/>
                <w:sz w:val="21"/>
                <w:highlight w:val="none"/>
                <w:lang w:eastAsia="zh-CN"/>
              </w:rPr>
            </w:pPr>
          </w:p>
          <w:p w14:paraId="7E9D8710">
            <w:pPr>
              <w:pStyle w:val="44"/>
              <w:spacing w:line="213" w:lineRule="auto"/>
              <w:ind w:left="26" w:right="155"/>
              <w:jc w:val="left"/>
              <w:rPr>
                <w:rFonts w:hint="eastAsia"/>
                <w:color w:val="auto"/>
                <w:sz w:val="21"/>
                <w:highlight w:val="none"/>
                <w:lang w:eastAsia="zh-CN"/>
              </w:rPr>
            </w:pPr>
            <w:r>
              <w:rPr>
                <w:color w:val="auto"/>
                <w:sz w:val="21"/>
                <w:highlight w:val="none"/>
                <w:lang w:eastAsia="zh-CN"/>
              </w:rPr>
              <w:t xml:space="preserve">禁止在境内主要江河（融江、龙江）干流沿岸两侧 </w:t>
            </w:r>
            <w:r>
              <w:rPr>
                <w:rFonts w:ascii="Times New Roman" w:eastAsia="Times New Roman"/>
                <w:color w:val="auto"/>
                <w:sz w:val="21"/>
                <w:highlight w:val="none"/>
                <w:lang w:eastAsia="zh-CN"/>
              </w:rPr>
              <w:t xml:space="preserve">500 </w:t>
            </w:r>
            <w:r>
              <w:rPr>
                <w:color w:val="auto"/>
                <w:sz w:val="21"/>
                <w:highlight w:val="none"/>
                <w:lang w:eastAsia="zh-CN"/>
              </w:rPr>
              <w:t>米范围内建立</w:t>
            </w:r>
            <w:r>
              <w:rPr>
                <w:rFonts w:hint="eastAsia"/>
                <w:color w:val="auto"/>
                <w:sz w:val="21"/>
                <w:highlight w:val="none"/>
                <w:lang w:val="en-US" w:eastAsia="zh-CN"/>
              </w:rPr>
              <w:t>鸡</w:t>
            </w:r>
            <w:r>
              <w:rPr>
                <w:color w:val="auto"/>
                <w:sz w:val="21"/>
                <w:highlight w:val="none"/>
                <w:lang w:eastAsia="zh-CN"/>
              </w:rPr>
              <w:t>饲养场</w:t>
            </w:r>
          </w:p>
        </w:tc>
        <w:tc>
          <w:tcPr>
            <w:tcW w:w="2333" w:type="dxa"/>
          </w:tcPr>
          <w:p w14:paraId="7C537A4D">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不利于生态环境保护的开荒性农业开发项目为</w:t>
            </w:r>
          </w:p>
          <w:p w14:paraId="2987E82A">
            <w:pPr>
              <w:pStyle w:val="44"/>
              <w:spacing w:before="2"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08E34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416" w:type="dxa"/>
          </w:tcPr>
          <w:p w14:paraId="51A5B395">
            <w:pPr>
              <w:pStyle w:val="44"/>
              <w:spacing w:before="6"/>
              <w:jc w:val="left"/>
              <w:rPr>
                <w:rFonts w:hint="eastAsia" w:ascii="微软雅黑"/>
                <w:b/>
                <w:color w:val="auto"/>
                <w:sz w:val="14"/>
                <w:highlight w:val="none"/>
                <w:lang w:eastAsia="zh-CN"/>
              </w:rPr>
            </w:pPr>
          </w:p>
          <w:p w14:paraId="5CE73AD0">
            <w:pPr>
              <w:pStyle w:val="44"/>
              <w:ind w:right="89"/>
              <w:jc w:val="right"/>
              <w:rPr>
                <w:rFonts w:hint="eastAsia" w:ascii="Times New Roman"/>
                <w:color w:val="auto"/>
                <w:sz w:val="21"/>
                <w:highlight w:val="none"/>
              </w:rPr>
            </w:pPr>
            <w:r>
              <w:rPr>
                <w:rFonts w:ascii="Times New Roman"/>
                <w:color w:val="auto"/>
                <w:sz w:val="21"/>
                <w:highlight w:val="none"/>
              </w:rPr>
              <w:t>10</w:t>
            </w:r>
          </w:p>
        </w:tc>
        <w:tc>
          <w:tcPr>
            <w:tcW w:w="708" w:type="dxa"/>
            <w:vMerge w:val="continue"/>
            <w:tcBorders>
              <w:top w:val="nil"/>
            </w:tcBorders>
          </w:tcPr>
          <w:p w14:paraId="2DC815AE">
            <w:pPr>
              <w:rPr>
                <w:rFonts w:hint="eastAsia"/>
                <w:color w:val="auto"/>
                <w:sz w:val="2"/>
                <w:szCs w:val="2"/>
                <w:highlight w:val="none"/>
              </w:rPr>
            </w:pPr>
          </w:p>
        </w:tc>
        <w:tc>
          <w:tcPr>
            <w:tcW w:w="708" w:type="dxa"/>
            <w:vMerge w:val="continue"/>
            <w:tcBorders>
              <w:top w:val="nil"/>
            </w:tcBorders>
          </w:tcPr>
          <w:p w14:paraId="6FF47F10">
            <w:pPr>
              <w:rPr>
                <w:rFonts w:hint="eastAsia"/>
                <w:color w:val="auto"/>
                <w:sz w:val="2"/>
                <w:szCs w:val="2"/>
                <w:highlight w:val="none"/>
              </w:rPr>
            </w:pPr>
          </w:p>
        </w:tc>
        <w:tc>
          <w:tcPr>
            <w:tcW w:w="852" w:type="dxa"/>
          </w:tcPr>
          <w:p w14:paraId="11BB7443">
            <w:pPr>
              <w:pStyle w:val="44"/>
              <w:spacing w:before="153" w:line="213" w:lineRule="auto"/>
              <w:ind w:left="215" w:right="22" w:hanging="185"/>
              <w:jc w:val="left"/>
              <w:rPr>
                <w:rFonts w:hint="eastAsia"/>
                <w:color w:val="auto"/>
                <w:sz w:val="21"/>
                <w:highlight w:val="none"/>
              </w:rPr>
            </w:pPr>
            <w:r>
              <w:rPr>
                <w:rFonts w:ascii="Times New Roman" w:eastAsia="Times New Roman"/>
                <w:color w:val="auto"/>
                <w:sz w:val="21"/>
                <w:highlight w:val="none"/>
              </w:rPr>
              <w:t xml:space="preserve">032 </w:t>
            </w:r>
            <w:r>
              <w:rPr>
                <w:color w:val="auto"/>
                <w:sz w:val="21"/>
                <w:highlight w:val="none"/>
              </w:rPr>
              <w:t>家禽养殖</w:t>
            </w:r>
          </w:p>
        </w:tc>
        <w:tc>
          <w:tcPr>
            <w:tcW w:w="1021" w:type="dxa"/>
          </w:tcPr>
          <w:p w14:paraId="5F67F419">
            <w:pPr>
              <w:pStyle w:val="44"/>
              <w:spacing w:before="130" w:line="254" w:lineRule="exact"/>
              <w:ind w:left="83"/>
              <w:jc w:val="left"/>
              <w:rPr>
                <w:rFonts w:hint="eastAsia"/>
                <w:color w:val="auto"/>
                <w:sz w:val="21"/>
                <w:highlight w:val="none"/>
              </w:rPr>
            </w:pPr>
            <w:r>
              <w:rPr>
                <w:rFonts w:ascii="Times New Roman" w:eastAsia="Times New Roman"/>
                <w:color w:val="auto"/>
                <w:sz w:val="21"/>
                <w:highlight w:val="none"/>
              </w:rPr>
              <w:t>0322</w:t>
            </w:r>
            <w:r>
              <w:rPr>
                <w:rFonts w:ascii="Times New Roman" w:eastAsia="Times New Roman"/>
                <w:color w:val="auto"/>
                <w:spacing w:val="1"/>
                <w:sz w:val="21"/>
                <w:highlight w:val="none"/>
              </w:rPr>
              <w:t xml:space="preserve"> </w:t>
            </w:r>
            <w:r>
              <w:rPr>
                <w:color w:val="auto"/>
                <w:sz w:val="21"/>
                <w:highlight w:val="none"/>
              </w:rPr>
              <w:t>鸭</w:t>
            </w:r>
          </w:p>
          <w:p w14:paraId="320C410B">
            <w:pPr>
              <w:pStyle w:val="44"/>
              <w:spacing w:line="254" w:lineRule="exact"/>
              <w:ind w:left="107"/>
              <w:jc w:val="left"/>
              <w:rPr>
                <w:rFonts w:hint="eastAsia"/>
                <w:color w:val="auto"/>
                <w:sz w:val="21"/>
                <w:highlight w:val="none"/>
              </w:rPr>
            </w:pPr>
            <w:r>
              <w:rPr>
                <w:color w:val="auto"/>
                <w:sz w:val="21"/>
                <w:highlight w:val="none"/>
              </w:rPr>
              <w:t>的养殖</w:t>
            </w:r>
          </w:p>
        </w:tc>
        <w:tc>
          <w:tcPr>
            <w:tcW w:w="851" w:type="dxa"/>
          </w:tcPr>
          <w:p w14:paraId="1B28144C">
            <w:pPr>
              <w:pStyle w:val="44"/>
              <w:spacing w:before="153" w:line="213" w:lineRule="auto"/>
              <w:ind w:left="40" w:right="30"/>
              <w:jc w:val="left"/>
              <w:rPr>
                <w:rFonts w:hint="eastAsia"/>
                <w:color w:val="auto"/>
                <w:sz w:val="21"/>
                <w:highlight w:val="none"/>
              </w:rPr>
            </w:pPr>
            <w:r>
              <w:rPr>
                <w:color w:val="auto"/>
                <w:sz w:val="21"/>
                <w:highlight w:val="none"/>
              </w:rPr>
              <w:t>现有一般产业</w:t>
            </w:r>
          </w:p>
        </w:tc>
        <w:tc>
          <w:tcPr>
            <w:tcW w:w="2850" w:type="dxa"/>
          </w:tcPr>
          <w:p w14:paraId="6B9F5E28">
            <w:pPr>
              <w:pStyle w:val="44"/>
              <w:spacing w:before="153" w:line="213" w:lineRule="auto"/>
              <w:ind w:left="26" w:right="155"/>
              <w:jc w:val="left"/>
              <w:rPr>
                <w:rFonts w:hint="eastAsia"/>
                <w:color w:val="auto"/>
                <w:sz w:val="21"/>
                <w:highlight w:val="none"/>
                <w:lang w:eastAsia="zh-CN"/>
              </w:rPr>
            </w:pPr>
            <w:r>
              <w:rPr>
                <w:color w:val="auto"/>
                <w:sz w:val="21"/>
                <w:highlight w:val="none"/>
                <w:lang w:eastAsia="zh-CN"/>
              </w:rPr>
              <w:t xml:space="preserve">禁止在境内主要江河（融江、龙江）干流沿岸两侧 </w:t>
            </w:r>
            <w:r>
              <w:rPr>
                <w:rFonts w:ascii="Times New Roman" w:eastAsia="Times New Roman"/>
                <w:color w:val="auto"/>
                <w:sz w:val="21"/>
                <w:highlight w:val="none"/>
                <w:lang w:eastAsia="zh-CN"/>
              </w:rPr>
              <w:t xml:space="preserve">500 </w:t>
            </w:r>
            <w:r>
              <w:rPr>
                <w:color w:val="auto"/>
                <w:sz w:val="21"/>
                <w:highlight w:val="none"/>
                <w:lang w:eastAsia="zh-CN"/>
              </w:rPr>
              <w:t>米范围内建立</w:t>
            </w:r>
            <w:r>
              <w:rPr>
                <w:rFonts w:hint="eastAsia"/>
                <w:color w:val="auto"/>
                <w:sz w:val="21"/>
                <w:highlight w:val="none"/>
                <w:lang w:val="en-US" w:eastAsia="zh-CN"/>
              </w:rPr>
              <w:t>鸭</w:t>
            </w:r>
            <w:r>
              <w:rPr>
                <w:color w:val="auto"/>
                <w:sz w:val="21"/>
                <w:highlight w:val="none"/>
                <w:lang w:eastAsia="zh-CN"/>
              </w:rPr>
              <w:t>饲养场</w:t>
            </w:r>
          </w:p>
        </w:tc>
        <w:tc>
          <w:tcPr>
            <w:tcW w:w="2333" w:type="dxa"/>
          </w:tcPr>
          <w:p w14:paraId="5BEC075C">
            <w:pPr>
              <w:pStyle w:val="44"/>
              <w:spacing w:before="33" w:line="213" w:lineRule="auto"/>
              <w:ind w:left="90" w:right="82"/>
              <w:jc w:val="both"/>
              <w:rPr>
                <w:rFonts w:hint="eastAsia"/>
                <w:color w:val="auto"/>
                <w:sz w:val="21"/>
                <w:highlight w:val="none"/>
                <w:lang w:eastAsia="zh-CN"/>
              </w:rPr>
            </w:pPr>
            <w:r>
              <w:rPr>
                <w:color w:val="auto"/>
                <w:sz w:val="21"/>
                <w:highlight w:val="none"/>
                <w:lang w:eastAsia="zh-CN"/>
              </w:rPr>
              <w:t>不利于生态环境保护的开荒性农业开发项目为</w:t>
            </w:r>
          </w:p>
        </w:tc>
      </w:tr>
    </w:tbl>
    <w:p w14:paraId="46380700">
      <w:pPr>
        <w:spacing w:line="213" w:lineRule="auto"/>
        <w:jc w:val="both"/>
        <w:rPr>
          <w:rFonts w:hint="eastAsia"/>
          <w:color w:val="auto"/>
          <w:sz w:val="21"/>
          <w:highlight w:val="none"/>
          <w:lang w:eastAsia="zh-CN"/>
        </w:rPr>
        <w:sectPr>
          <w:pgSz w:w="11910" w:h="16840"/>
          <w:pgMar w:top="1418" w:right="851" w:bottom="1418" w:left="1134" w:header="0" w:footer="603" w:gutter="0"/>
          <w:pgNumType w:fmt="decimal"/>
          <w:cols w:space="720" w:num="1"/>
        </w:sectPr>
      </w:pP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6"/>
        <w:gridCol w:w="708"/>
        <w:gridCol w:w="708"/>
        <w:gridCol w:w="852"/>
        <w:gridCol w:w="850"/>
        <w:gridCol w:w="715"/>
        <w:gridCol w:w="3831"/>
        <w:gridCol w:w="1659"/>
      </w:tblGrid>
      <w:tr w14:paraId="4F86B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416" w:type="dxa"/>
          </w:tcPr>
          <w:p w14:paraId="16DC6DAE">
            <w:pPr>
              <w:pStyle w:val="44"/>
              <w:spacing w:before="12"/>
              <w:jc w:val="left"/>
              <w:rPr>
                <w:rFonts w:hint="eastAsia" w:ascii="微软雅黑"/>
                <w:b/>
                <w:color w:val="auto"/>
                <w:sz w:val="15"/>
                <w:highlight w:val="none"/>
                <w:lang w:eastAsia="zh-CN"/>
              </w:rPr>
            </w:pPr>
          </w:p>
          <w:p w14:paraId="216877BE">
            <w:pPr>
              <w:pStyle w:val="44"/>
              <w:spacing w:line="148" w:lineRule="auto"/>
              <w:ind w:left="102" w:right="89"/>
              <w:jc w:val="left"/>
              <w:rPr>
                <w:rFonts w:hint="eastAsia" w:ascii="微软雅黑" w:eastAsia="微软雅黑"/>
                <w:b/>
                <w:color w:val="auto"/>
                <w:sz w:val="21"/>
                <w:highlight w:val="none"/>
              </w:rPr>
            </w:pPr>
            <w:r>
              <w:rPr>
                <w:rFonts w:hint="eastAsia" w:ascii="微软雅黑" w:eastAsia="微软雅黑"/>
                <w:b/>
                <w:color w:val="auto"/>
                <w:sz w:val="21"/>
                <w:highlight w:val="none"/>
              </w:rPr>
              <w:t>序号</w:t>
            </w:r>
          </w:p>
        </w:tc>
        <w:tc>
          <w:tcPr>
            <w:tcW w:w="708" w:type="dxa"/>
          </w:tcPr>
          <w:p w14:paraId="3FC66B19">
            <w:pPr>
              <w:pStyle w:val="44"/>
              <w:spacing w:line="257" w:lineRule="exact"/>
              <w:ind w:left="141"/>
              <w:jc w:val="left"/>
              <w:rPr>
                <w:rFonts w:hint="eastAsia" w:ascii="微软雅黑" w:eastAsia="微软雅黑"/>
                <w:b/>
                <w:color w:val="auto"/>
                <w:sz w:val="21"/>
                <w:highlight w:val="none"/>
              </w:rPr>
            </w:pPr>
            <w:r>
              <w:rPr>
                <w:rFonts w:hint="eastAsia" w:ascii="微软雅黑" w:eastAsia="微软雅黑"/>
                <w:b/>
                <w:color w:val="auto"/>
                <w:sz w:val="21"/>
                <w:highlight w:val="none"/>
              </w:rPr>
              <w:t>门类</w:t>
            </w:r>
          </w:p>
          <w:p w14:paraId="3A0764F7">
            <w:pPr>
              <w:pStyle w:val="44"/>
              <w:spacing w:before="32" w:line="148" w:lineRule="auto"/>
              <w:ind w:left="141" w:right="26"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9"/>
                <w:sz w:val="21"/>
                <w:highlight w:val="none"/>
              </w:rPr>
              <w:t>代码</w:t>
            </w:r>
            <w:r>
              <w:rPr>
                <w:rFonts w:hint="eastAsia" w:ascii="微软雅黑" w:eastAsia="微软雅黑"/>
                <w:b/>
                <w:color w:val="auto"/>
                <w:sz w:val="21"/>
                <w:highlight w:val="none"/>
              </w:rPr>
              <w:t>及名</w:t>
            </w:r>
          </w:p>
          <w:p w14:paraId="48B92B20">
            <w:pPr>
              <w:pStyle w:val="44"/>
              <w:spacing w:line="226" w:lineRule="exact"/>
              <w:ind w:left="141"/>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708" w:type="dxa"/>
          </w:tcPr>
          <w:p w14:paraId="02B84AD6">
            <w:pPr>
              <w:pStyle w:val="44"/>
              <w:spacing w:line="257" w:lineRule="exact"/>
              <w:ind w:left="143"/>
              <w:jc w:val="left"/>
              <w:rPr>
                <w:rFonts w:hint="eastAsia" w:ascii="微软雅黑" w:eastAsia="微软雅黑"/>
                <w:b/>
                <w:color w:val="auto"/>
                <w:sz w:val="21"/>
                <w:highlight w:val="none"/>
              </w:rPr>
            </w:pPr>
            <w:r>
              <w:rPr>
                <w:rFonts w:hint="eastAsia" w:ascii="微软雅黑" w:eastAsia="微软雅黑"/>
                <w:b/>
                <w:color w:val="auto"/>
                <w:sz w:val="21"/>
                <w:highlight w:val="none"/>
              </w:rPr>
              <w:t>大类</w:t>
            </w:r>
          </w:p>
          <w:p w14:paraId="731BAFE8">
            <w:pPr>
              <w:pStyle w:val="44"/>
              <w:spacing w:before="32" w:line="148" w:lineRule="auto"/>
              <w:ind w:left="143" w:right="24"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9"/>
                <w:sz w:val="21"/>
                <w:highlight w:val="none"/>
              </w:rPr>
              <w:t>代码</w:t>
            </w:r>
            <w:r>
              <w:rPr>
                <w:rFonts w:hint="eastAsia" w:ascii="微软雅黑" w:eastAsia="微软雅黑"/>
                <w:b/>
                <w:color w:val="auto"/>
                <w:sz w:val="21"/>
                <w:highlight w:val="none"/>
              </w:rPr>
              <w:t>及名</w:t>
            </w:r>
          </w:p>
          <w:p w14:paraId="08385205">
            <w:pPr>
              <w:pStyle w:val="44"/>
              <w:spacing w:line="226" w:lineRule="exact"/>
              <w:ind w:left="143"/>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852" w:type="dxa"/>
          </w:tcPr>
          <w:p w14:paraId="73AF423C">
            <w:pPr>
              <w:pStyle w:val="44"/>
              <w:spacing w:line="257"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中类</w:t>
            </w:r>
          </w:p>
          <w:p w14:paraId="258CEF62">
            <w:pPr>
              <w:pStyle w:val="44"/>
              <w:spacing w:before="32" w:line="148" w:lineRule="auto"/>
              <w:ind w:left="213" w:right="100"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10"/>
                <w:sz w:val="21"/>
                <w:highlight w:val="none"/>
              </w:rPr>
              <w:t>代码</w:t>
            </w:r>
            <w:r>
              <w:rPr>
                <w:rFonts w:hint="eastAsia" w:ascii="微软雅黑" w:eastAsia="微软雅黑"/>
                <w:b/>
                <w:color w:val="auto"/>
                <w:sz w:val="21"/>
                <w:highlight w:val="none"/>
              </w:rPr>
              <w:t>及名</w:t>
            </w:r>
          </w:p>
          <w:p w14:paraId="2AC8588C">
            <w:pPr>
              <w:pStyle w:val="44"/>
              <w:spacing w:line="226"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850" w:type="dxa"/>
          </w:tcPr>
          <w:p w14:paraId="62F9B372">
            <w:pPr>
              <w:pStyle w:val="44"/>
              <w:spacing w:line="257"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小类</w:t>
            </w:r>
          </w:p>
          <w:p w14:paraId="20660C49">
            <w:pPr>
              <w:pStyle w:val="44"/>
              <w:spacing w:before="32" w:line="148" w:lineRule="auto"/>
              <w:ind w:left="213" w:right="98"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10"/>
                <w:sz w:val="21"/>
                <w:highlight w:val="none"/>
              </w:rPr>
              <w:t>代码</w:t>
            </w:r>
            <w:r>
              <w:rPr>
                <w:rFonts w:hint="eastAsia" w:ascii="微软雅黑" w:eastAsia="微软雅黑"/>
                <w:b/>
                <w:color w:val="auto"/>
                <w:sz w:val="21"/>
                <w:highlight w:val="none"/>
              </w:rPr>
              <w:t>及名</w:t>
            </w:r>
          </w:p>
          <w:p w14:paraId="05F20744">
            <w:pPr>
              <w:pStyle w:val="44"/>
              <w:spacing w:line="226"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715" w:type="dxa"/>
          </w:tcPr>
          <w:p w14:paraId="310D7EC4">
            <w:pPr>
              <w:pStyle w:val="44"/>
              <w:spacing w:before="12"/>
              <w:jc w:val="left"/>
              <w:rPr>
                <w:rFonts w:hint="eastAsia" w:ascii="微软雅黑"/>
                <w:b/>
                <w:color w:val="auto"/>
                <w:sz w:val="15"/>
                <w:highlight w:val="none"/>
              </w:rPr>
            </w:pPr>
          </w:p>
          <w:p w14:paraId="6DC4EE7B">
            <w:pPr>
              <w:pStyle w:val="44"/>
              <w:spacing w:line="148" w:lineRule="auto"/>
              <w:ind w:left="38" w:right="31"/>
              <w:jc w:val="left"/>
              <w:rPr>
                <w:rFonts w:hint="eastAsia" w:ascii="微软雅黑" w:eastAsia="微软雅黑"/>
                <w:b/>
                <w:color w:val="auto"/>
                <w:sz w:val="21"/>
                <w:highlight w:val="none"/>
              </w:rPr>
            </w:pPr>
            <w:r>
              <w:rPr>
                <w:rFonts w:hint="eastAsia" w:ascii="微软雅黑" w:eastAsia="微软雅黑"/>
                <w:b/>
                <w:color w:val="auto"/>
                <w:sz w:val="21"/>
                <w:highlight w:val="none"/>
              </w:rPr>
              <w:t>产业存在状况</w:t>
            </w:r>
          </w:p>
        </w:tc>
        <w:tc>
          <w:tcPr>
            <w:tcW w:w="3831" w:type="dxa"/>
          </w:tcPr>
          <w:p w14:paraId="36FDD740">
            <w:pPr>
              <w:pStyle w:val="44"/>
              <w:spacing w:before="8"/>
              <w:jc w:val="left"/>
              <w:rPr>
                <w:rFonts w:hint="eastAsia" w:ascii="微软雅黑"/>
                <w:b/>
                <w:color w:val="auto"/>
                <w:sz w:val="16"/>
                <w:highlight w:val="none"/>
              </w:rPr>
            </w:pPr>
          </w:p>
          <w:p w14:paraId="433781C0">
            <w:pPr>
              <w:pStyle w:val="44"/>
              <w:spacing w:before="1"/>
              <w:ind w:left="1473" w:right="1468"/>
              <w:rPr>
                <w:rFonts w:hint="eastAsia" w:ascii="微软雅黑" w:eastAsia="微软雅黑"/>
                <w:b/>
                <w:color w:val="auto"/>
                <w:sz w:val="21"/>
                <w:highlight w:val="none"/>
              </w:rPr>
            </w:pPr>
            <w:r>
              <w:rPr>
                <w:rFonts w:hint="eastAsia" w:ascii="微软雅黑" w:eastAsia="微软雅黑"/>
                <w:b/>
                <w:color w:val="auto"/>
                <w:sz w:val="21"/>
                <w:highlight w:val="none"/>
              </w:rPr>
              <w:t>管控要求</w:t>
            </w:r>
          </w:p>
        </w:tc>
        <w:tc>
          <w:tcPr>
            <w:tcW w:w="1659" w:type="dxa"/>
          </w:tcPr>
          <w:p w14:paraId="437971E0">
            <w:pPr>
              <w:pStyle w:val="44"/>
              <w:spacing w:before="8"/>
              <w:jc w:val="left"/>
              <w:rPr>
                <w:rFonts w:hint="eastAsia" w:ascii="微软雅黑"/>
                <w:b/>
                <w:color w:val="auto"/>
                <w:sz w:val="16"/>
                <w:highlight w:val="none"/>
              </w:rPr>
            </w:pPr>
          </w:p>
          <w:p w14:paraId="25127106">
            <w:pPr>
              <w:pStyle w:val="44"/>
              <w:spacing w:before="1"/>
              <w:ind w:left="598" w:right="591"/>
              <w:rPr>
                <w:rFonts w:hint="eastAsia" w:ascii="微软雅黑" w:eastAsia="微软雅黑"/>
                <w:b/>
                <w:color w:val="auto"/>
                <w:sz w:val="21"/>
                <w:highlight w:val="none"/>
              </w:rPr>
            </w:pPr>
            <w:r>
              <w:rPr>
                <w:rFonts w:hint="eastAsia" w:ascii="微软雅黑" w:eastAsia="微软雅黑"/>
                <w:b/>
                <w:color w:val="auto"/>
                <w:sz w:val="21"/>
                <w:highlight w:val="none"/>
              </w:rPr>
              <w:t>备注</w:t>
            </w:r>
          </w:p>
        </w:tc>
      </w:tr>
      <w:tr w14:paraId="17B96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416" w:type="dxa"/>
          </w:tcPr>
          <w:p w14:paraId="7DB6D58D">
            <w:pPr>
              <w:pStyle w:val="44"/>
              <w:jc w:val="left"/>
              <w:rPr>
                <w:rFonts w:hint="eastAsia" w:ascii="Times New Roman"/>
                <w:color w:val="auto"/>
                <w:sz w:val="20"/>
                <w:highlight w:val="none"/>
              </w:rPr>
            </w:pPr>
          </w:p>
        </w:tc>
        <w:tc>
          <w:tcPr>
            <w:tcW w:w="708" w:type="dxa"/>
            <w:vMerge w:val="restart"/>
          </w:tcPr>
          <w:p w14:paraId="6A2B7935">
            <w:pPr>
              <w:pStyle w:val="44"/>
              <w:jc w:val="left"/>
              <w:rPr>
                <w:rFonts w:hint="eastAsia" w:ascii="Times New Roman"/>
                <w:color w:val="auto"/>
                <w:sz w:val="20"/>
                <w:highlight w:val="none"/>
              </w:rPr>
            </w:pPr>
          </w:p>
        </w:tc>
        <w:tc>
          <w:tcPr>
            <w:tcW w:w="708" w:type="dxa"/>
          </w:tcPr>
          <w:p w14:paraId="20D5D12E">
            <w:pPr>
              <w:pStyle w:val="44"/>
              <w:jc w:val="left"/>
              <w:rPr>
                <w:rFonts w:hint="eastAsia" w:ascii="Times New Roman"/>
                <w:color w:val="auto"/>
                <w:sz w:val="20"/>
                <w:highlight w:val="none"/>
              </w:rPr>
            </w:pPr>
          </w:p>
        </w:tc>
        <w:tc>
          <w:tcPr>
            <w:tcW w:w="852" w:type="dxa"/>
          </w:tcPr>
          <w:p w14:paraId="45C68CE7">
            <w:pPr>
              <w:pStyle w:val="44"/>
              <w:jc w:val="left"/>
              <w:rPr>
                <w:rFonts w:hint="eastAsia" w:ascii="Times New Roman"/>
                <w:color w:val="auto"/>
                <w:sz w:val="20"/>
                <w:highlight w:val="none"/>
              </w:rPr>
            </w:pPr>
          </w:p>
        </w:tc>
        <w:tc>
          <w:tcPr>
            <w:tcW w:w="850" w:type="dxa"/>
          </w:tcPr>
          <w:p w14:paraId="6D1866C9">
            <w:pPr>
              <w:pStyle w:val="44"/>
              <w:jc w:val="left"/>
              <w:rPr>
                <w:rFonts w:hint="eastAsia" w:ascii="Times New Roman"/>
                <w:color w:val="auto"/>
                <w:sz w:val="20"/>
                <w:highlight w:val="none"/>
              </w:rPr>
            </w:pPr>
          </w:p>
        </w:tc>
        <w:tc>
          <w:tcPr>
            <w:tcW w:w="715" w:type="dxa"/>
          </w:tcPr>
          <w:p w14:paraId="5C2C2A4C">
            <w:pPr>
              <w:pStyle w:val="44"/>
              <w:jc w:val="left"/>
              <w:rPr>
                <w:rFonts w:hint="eastAsia" w:ascii="Times New Roman"/>
                <w:color w:val="auto"/>
                <w:sz w:val="20"/>
                <w:highlight w:val="none"/>
              </w:rPr>
            </w:pPr>
          </w:p>
        </w:tc>
        <w:tc>
          <w:tcPr>
            <w:tcW w:w="3831" w:type="dxa"/>
          </w:tcPr>
          <w:p w14:paraId="255F9A6D">
            <w:pPr>
              <w:pStyle w:val="44"/>
              <w:jc w:val="left"/>
              <w:rPr>
                <w:rFonts w:hint="eastAsia" w:ascii="Times New Roman"/>
                <w:color w:val="auto"/>
                <w:sz w:val="20"/>
                <w:highlight w:val="none"/>
              </w:rPr>
            </w:pPr>
          </w:p>
        </w:tc>
        <w:tc>
          <w:tcPr>
            <w:tcW w:w="1659" w:type="dxa"/>
          </w:tcPr>
          <w:p w14:paraId="5FB401E4">
            <w:pPr>
              <w:pStyle w:val="44"/>
              <w:spacing w:before="33"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13067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416" w:type="dxa"/>
          </w:tcPr>
          <w:p w14:paraId="3FB659D8">
            <w:pPr>
              <w:pStyle w:val="44"/>
              <w:spacing w:before="6"/>
              <w:jc w:val="left"/>
              <w:rPr>
                <w:rFonts w:hint="eastAsia" w:ascii="微软雅黑"/>
                <w:b/>
                <w:color w:val="auto"/>
                <w:sz w:val="14"/>
                <w:highlight w:val="none"/>
                <w:lang w:eastAsia="zh-CN"/>
              </w:rPr>
            </w:pPr>
          </w:p>
          <w:p w14:paraId="51A17D6C">
            <w:pPr>
              <w:pStyle w:val="44"/>
              <w:ind w:left="107"/>
              <w:jc w:val="left"/>
              <w:rPr>
                <w:rFonts w:hint="eastAsia" w:ascii="Times New Roman"/>
                <w:color w:val="auto"/>
                <w:sz w:val="21"/>
                <w:highlight w:val="none"/>
              </w:rPr>
            </w:pPr>
            <w:r>
              <w:rPr>
                <w:rFonts w:ascii="Times New Roman"/>
                <w:color w:val="auto"/>
                <w:sz w:val="21"/>
                <w:highlight w:val="none"/>
              </w:rPr>
              <w:t>11</w:t>
            </w:r>
          </w:p>
        </w:tc>
        <w:tc>
          <w:tcPr>
            <w:tcW w:w="708" w:type="dxa"/>
            <w:vMerge w:val="continue"/>
            <w:tcBorders>
              <w:top w:val="nil"/>
            </w:tcBorders>
          </w:tcPr>
          <w:p w14:paraId="3B557CCA">
            <w:pPr>
              <w:rPr>
                <w:rFonts w:hint="eastAsia"/>
                <w:color w:val="auto"/>
                <w:sz w:val="2"/>
                <w:szCs w:val="2"/>
                <w:highlight w:val="none"/>
              </w:rPr>
            </w:pPr>
          </w:p>
        </w:tc>
        <w:tc>
          <w:tcPr>
            <w:tcW w:w="708" w:type="dxa"/>
          </w:tcPr>
          <w:p w14:paraId="59A12214">
            <w:pPr>
              <w:pStyle w:val="44"/>
              <w:spacing w:before="153" w:line="213" w:lineRule="auto"/>
              <w:ind w:left="249" w:right="103" w:hanging="132"/>
              <w:jc w:val="left"/>
              <w:rPr>
                <w:rFonts w:hint="eastAsia"/>
                <w:color w:val="auto"/>
                <w:sz w:val="21"/>
                <w:highlight w:val="none"/>
              </w:rPr>
            </w:pPr>
            <w:r>
              <w:rPr>
                <w:rFonts w:ascii="Times New Roman" w:eastAsia="Times New Roman"/>
                <w:color w:val="auto"/>
                <w:sz w:val="21"/>
                <w:highlight w:val="none"/>
              </w:rPr>
              <w:t xml:space="preserve">04 </w:t>
            </w:r>
            <w:r>
              <w:rPr>
                <w:color w:val="auto"/>
                <w:sz w:val="21"/>
                <w:highlight w:val="none"/>
              </w:rPr>
              <w:t>渔业</w:t>
            </w:r>
          </w:p>
        </w:tc>
        <w:tc>
          <w:tcPr>
            <w:tcW w:w="852" w:type="dxa"/>
          </w:tcPr>
          <w:p w14:paraId="15A54B29">
            <w:pPr>
              <w:pStyle w:val="44"/>
              <w:spacing w:before="153" w:line="213" w:lineRule="auto"/>
              <w:ind w:left="215" w:right="22" w:hanging="185"/>
              <w:jc w:val="left"/>
              <w:rPr>
                <w:rFonts w:hint="eastAsia"/>
                <w:color w:val="auto"/>
                <w:sz w:val="21"/>
                <w:highlight w:val="none"/>
              </w:rPr>
            </w:pPr>
            <w:r>
              <w:rPr>
                <w:rFonts w:ascii="Times New Roman" w:eastAsia="Times New Roman"/>
                <w:color w:val="auto"/>
                <w:sz w:val="21"/>
                <w:highlight w:val="none"/>
              </w:rPr>
              <w:t xml:space="preserve">041 </w:t>
            </w:r>
            <w:r>
              <w:rPr>
                <w:color w:val="auto"/>
                <w:sz w:val="21"/>
                <w:highlight w:val="none"/>
              </w:rPr>
              <w:t>水产养殖</w:t>
            </w:r>
          </w:p>
        </w:tc>
        <w:tc>
          <w:tcPr>
            <w:tcW w:w="850" w:type="dxa"/>
          </w:tcPr>
          <w:p w14:paraId="01411AF9">
            <w:pPr>
              <w:pStyle w:val="44"/>
              <w:spacing w:before="130" w:line="255" w:lineRule="exact"/>
              <w:ind w:left="83"/>
              <w:jc w:val="left"/>
              <w:rPr>
                <w:rFonts w:hint="eastAsia"/>
                <w:color w:val="auto"/>
                <w:sz w:val="21"/>
                <w:highlight w:val="none"/>
              </w:rPr>
            </w:pPr>
            <w:r>
              <w:rPr>
                <w:rFonts w:ascii="Times New Roman" w:eastAsia="Times New Roman"/>
                <w:color w:val="auto"/>
                <w:sz w:val="21"/>
                <w:highlight w:val="none"/>
              </w:rPr>
              <w:t>0412</w:t>
            </w:r>
            <w:r>
              <w:rPr>
                <w:rFonts w:ascii="Times New Roman" w:eastAsia="Times New Roman"/>
                <w:color w:val="auto"/>
                <w:spacing w:val="1"/>
                <w:sz w:val="21"/>
                <w:highlight w:val="none"/>
              </w:rPr>
              <w:t xml:space="preserve"> </w:t>
            </w:r>
            <w:r>
              <w:rPr>
                <w:color w:val="auto"/>
                <w:sz w:val="21"/>
                <w:highlight w:val="none"/>
              </w:rPr>
              <w:t>内</w:t>
            </w:r>
          </w:p>
          <w:p w14:paraId="39B462FA">
            <w:pPr>
              <w:pStyle w:val="44"/>
              <w:spacing w:line="255" w:lineRule="exact"/>
              <w:ind w:left="107"/>
              <w:jc w:val="left"/>
              <w:rPr>
                <w:rFonts w:hint="eastAsia"/>
                <w:color w:val="auto"/>
                <w:sz w:val="21"/>
                <w:highlight w:val="none"/>
              </w:rPr>
            </w:pPr>
            <w:r>
              <w:rPr>
                <w:color w:val="auto"/>
                <w:sz w:val="21"/>
                <w:highlight w:val="none"/>
              </w:rPr>
              <w:t>陆养殖</w:t>
            </w:r>
          </w:p>
        </w:tc>
        <w:tc>
          <w:tcPr>
            <w:tcW w:w="715" w:type="dxa"/>
          </w:tcPr>
          <w:p w14:paraId="5845E437">
            <w:pPr>
              <w:pStyle w:val="44"/>
              <w:spacing w:before="153"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0C50FDA8">
            <w:pPr>
              <w:pStyle w:val="44"/>
              <w:numPr>
                <w:ilvl w:val="0"/>
                <w:numId w:val="7"/>
              </w:numPr>
              <w:tabs>
                <w:tab w:val="left" w:pos="186"/>
              </w:tabs>
              <w:spacing w:before="33" w:line="213" w:lineRule="auto"/>
              <w:ind w:right="60" w:firstLine="0"/>
              <w:jc w:val="left"/>
              <w:rPr>
                <w:rFonts w:hint="eastAsia"/>
                <w:color w:val="auto"/>
                <w:sz w:val="21"/>
                <w:highlight w:val="none"/>
                <w:lang w:eastAsia="zh-CN"/>
              </w:rPr>
            </w:pPr>
            <w:r>
              <w:rPr>
                <w:color w:val="auto"/>
                <w:spacing w:val="-4"/>
                <w:sz w:val="21"/>
                <w:highlight w:val="none"/>
                <w:lang w:eastAsia="zh-CN"/>
              </w:rPr>
              <w:t>禁止在水源保护区内干流河道进行网箱</w:t>
            </w:r>
            <w:r>
              <w:rPr>
                <w:color w:val="auto"/>
                <w:sz w:val="21"/>
                <w:highlight w:val="none"/>
                <w:lang w:eastAsia="zh-CN"/>
              </w:rPr>
              <w:t>养鱼；</w:t>
            </w:r>
          </w:p>
          <w:p w14:paraId="1A1FCA2F">
            <w:pPr>
              <w:pStyle w:val="44"/>
              <w:numPr>
                <w:ilvl w:val="0"/>
                <w:numId w:val="7"/>
              </w:numPr>
              <w:tabs>
                <w:tab w:val="left" w:pos="186"/>
              </w:tabs>
              <w:spacing w:line="242" w:lineRule="exact"/>
              <w:ind w:left="185"/>
              <w:jc w:val="left"/>
              <w:rPr>
                <w:rFonts w:hint="eastAsia"/>
                <w:color w:val="auto"/>
                <w:sz w:val="21"/>
                <w:highlight w:val="none"/>
                <w:lang w:eastAsia="zh-CN"/>
              </w:rPr>
            </w:pPr>
            <w:r>
              <w:rPr>
                <w:color w:val="auto"/>
                <w:spacing w:val="-3"/>
                <w:sz w:val="21"/>
                <w:highlight w:val="none"/>
                <w:lang w:eastAsia="zh-CN"/>
              </w:rPr>
              <w:t>禁止占用永久基本农田挖塘养鱼</w:t>
            </w:r>
          </w:p>
        </w:tc>
        <w:tc>
          <w:tcPr>
            <w:tcW w:w="1659" w:type="dxa"/>
          </w:tcPr>
          <w:p w14:paraId="509C30BC">
            <w:pPr>
              <w:pStyle w:val="44"/>
              <w:spacing w:before="153"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1339C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8" w:hRule="atLeast"/>
        </w:trPr>
        <w:tc>
          <w:tcPr>
            <w:tcW w:w="416" w:type="dxa"/>
          </w:tcPr>
          <w:p w14:paraId="7A0E8CF6">
            <w:pPr>
              <w:pStyle w:val="44"/>
              <w:jc w:val="left"/>
              <w:rPr>
                <w:rFonts w:hint="eastAsia" w:ascii="微软雅黑"/>
                <w:b/>
                <w:color w:val="auto"/>
                <w:highlight w:val="none"/>
                <w:lang w:eastAsia="zh-CN"/>
              </w:rPr>
            </w:pPr>
          </w:p>
          <w:p w14:paraId="1B42B227">
            <w:pPr>
              <w:pStyle w:val="44"/>
              <w:jc w:val="left"/>
              <w:rPr>
                <w:rFonts w:hint="eastAsia" w:ascii="微软雅黑"/>
                <w:b/>
                <w:color w:val="auto"/>
                <w:highlight w:val="none"/>
                <w:lang w:eastAsia="zh-CN"/>
              </w:rPr>
            </w:pPr>
          </w:p>
          <w:p w14:paraId="68B95483">
            <w:pPr>
              <w:pStyle w:val="44"/>
              <w:jc w:val="left"/>
              <w:rPr>
                <w:rFonts w:hint="eastAsia" w:ascii="微软雅黑"/>
                <w:b/>
                <w:color w:val="auto"/>
                <w:highlight w:val="none"/>
                <w:lang w:eastAsia="zh-CN"/>
              </w:rPr>
            </w:pPr>
          </w:p>
          <w:p w14:paraId="28EC1755">
            <w:pPr>
              <w:pStyle w:val="44"/>
              <w:jc w:val="left"/>
              <w:rPr>
                <w:rFonts w:hint="eastAsia" w:ascii="微软雅黑"/>
                <w:b/>
                <w:color w:val="auto"/>
                <w:highlight w:val="none"/>
                <w:lang w:eastAsia="zh-CN"/>
              </w:rPr>
            </w:pPr>
          </w:p>
          <w:p w14:paraId="0447E762">
            <w:pPr>
              <w:pStyle w:val="44"/>
              <w:jc w:val="left"/>
              <w:rPr>
                <w:rFonts w:hint="eastAsia" w:ascii="微软雅黑"/>
                <w:b/>
                <w:color w:val="auto"/>
                <w:highlight w:val="none"/>
                <w:lang w:eastAsia="zh-CN"/>
              </w:rPr>
            </w:pPr>
          </w:p>
          <w:p w14:paraId="5584435D">
            <w:pPr>
              <w:pStyle w:val="44"/>
              <w:spacing w:before="1"/>
              <w:jc w:val="left"/>
              <w:rPr>
                <w:rFonts w:hint="eastAsia" w:ascii="微软雅黑"/>
                <w:b/>
                <w:color w:val="auto"/>
                <w:sz w:val="15"/>
                <w:highlight w:val="none"/>
                <w:lang w:eastAsia="zh-CN"/>
              </w:rPr>
            </w:pPr>
          </w:p>
          <w:p w14:paraId="4E19196E">
            <w:pPr>
              <w:pStyle w:val="44"/>
              <w:ind w:left="102"/>
              <w:jc w:val="left"/>
              <w:rPr>
                <w:rFonts w:hint="eastAsia" w:ascii="Times New Roman"/>
                <w:color w:val="auto"/>
                <w:sz w:val="21"/>
                <w:highlight w:val="none"/>
              </w:rPr>
            </w:pPr>
            <w:r>
              <w:rPr>
                <w:rFonts w:ascii="Times New Roman"/>
                <w:color w:val="auto"/>
                <w:sz w:val="21"/>
                <w:highlight w:val="none"/>
              </w:rPr>
              <w:t>12</w:t>
            </w:r>
          </w:p>
        </w:tc>
        <w:tc>
          <w:tcPr>
            <w:tcW w:w="708" w:type="dxa"/>
          </w:tcPr>
          <w:p w14:paraId="33F17837">
            <w:pPr>
              <w:pStyle w:val="44"/>
              <w:jc w:val="left"/>
              <w:rPr>
                <w:rFonts w:hint="eastAsia" w:ascii="微软雅黑"/>
                <w:b/>
                <w:color w:val="auto"/>
                <w:sz w:val="20"/>
                <w:highlight w:val="none"/>
              </w:rPr>
            </w:pPr>
          </w:p>
          <w:p w14:paraId="519D94FF">
            <w:pPr>
              <w:pStyle w:val="44"/>
              <w:jc w:val="left"/>
              <w:rPr>
                <w:rFonts w:hint="eastAsia" w:ascii="微软雅黑"/>
                <w:b/>
                <w:color w:val="auto"/>
                <w:sz w:val="20"/>
                <w:highlight w:val="none"/>
              </w:rPr>
            </w:pPr>
          </w:p>
          <w:p w14:paraId="2569CB43">
            <w:pPr>
              <w:pStyle w:val="44"/>
              <w:jc w:val="left"/>
              <w:rPr>
                <w:rFonts w:hint="eastAsia" w:ascii="微软雅黑"/>
                <w:b/>
                <w:color w:val="auto"/>
                <w:sz w:val="20"/>
                <w:highlight w:val="none"/>
              </w:rPr>
            </w:pPr>
          </w:p>
          <w:p w14:paraId="66A78DE6">
            <w:pPr>
              <w:pStyle w:val="44"/>
              <w:jc w:val="left"/>
              <w:rPr>
                <w:rFonts w:hint="eastAsia" w:ascii="微软雅黑"/>
                <w:b/>
                <w:color w:val="auto"/>
                <w:sz w:val="20"/>
                <w:highlight w:val="none"/>
              </w:rPr>
            </w:pPr>
          </w:p>
          <w:p w14:paraId="44FB921D">
            <w:pPr>
              <w:pStyle w:val="44"/>
              <w:jc w:val="left"/>
              <w:rPr>
                <w:rFonts w:hint="eastAsia" w:ascii="微软雅黑"/>
                <w:b/>
                <w:color w:val="auto"/>
                <w:sz w:val="20"/>
                <w:highlight w:val="none"/>
              </w:rPr>
            </w:pPr>
          </w:p>
          <w:p w14:paraId="0221290C">
            <w:pPr>
              <w:pStyle w:val="44"/>
              <w:jc w:val="left"/>
              <w:rPr>
                <w:rFonts w:hint="eastAsia" w:ascii="微软雅黑"/>
                <w:b/>
                <w:color w:val="auto"/>
                <w:sz w:val="19"/>
                <w:highlight w:val="none"/>
              </w:rPr>
            </w:pPr>
          </w:p>
          <w:p w14:paraId="4D3061EA">
            <w:pPr>
              <w:pStyle w:val="44"/>
              <w:spacing w:before="1" w:line="213" w:lineRule="auto"/>
              <w:ind w:left="246" w:right="36" w:hanging="200"/>
              <w:jc w:val="left"/>
              <w:rPr>
                <w:rFonts w:hint="eastAsia"/>
                <w:color w:val="auto"/>
                <w:sz w:val="21"/>
                <w:highlight w:val="none"/>
              </w:rPr>
            </w:pPr>
            <w:r>
              <w:rPr>
                <w:rFonts w:ascii="Times New Roman" w:eastAsia="Times New Roman"/>
                <w:color w:val="auto"/>
                <w:sz w:val="21"/>
                <w:highlight w:val="none"/>
              </w:rPr>
              <w:t xml:space="preserve">B </w:t>
            </w:r>
            <w:r>
              <w:rPr>
                <w:color w:val="auto"/>
                <w:sz w:val="21"/>
                <w:highlight w:val="none"/>
              </w:rPr>
              <w:t>采矿业</w:t>
            </w:r>
          </w:p>
        </w:tc>
        <w:tc>
          <w:tcPr>
            <w:tcW w:w="708" w:type="dxa"/>
          </w:tcPr>
          <w:p w14:paraId="54291C76">
            <w:pPr>
              <w:pStyle w:val="44"/>
              <w:jc w:val="left"/>
              <w:rPr>
                <w:rFonts w:hint="eastAsia" w:ascii="微软雅黑"/>
                <w:b/>
                <w:color w:val="auto"/>
                <w:sz w:val="20"/>
                <w:highlight w:val="none"/>
              </w:rPr>
            </w:pPr>
          </w:p>
          <w:p w14:paraId="4835AC2A">
            <w:pPr>
              <w:pStyle w:val="44"/>
              <w:jc w:val="left"/>
              <w:rPr>
                <w:rFonts w:hint="eastAsia" w:ascii="微软雅黑"/>
                <w:b/>
                <w:color w:val="auto"/>
                <w:sz w:val="20"/>
                <w:highlight w:val="none"/>
              </w:rPr>
            </w:pPr>
          </w:p>
          <w:p w14:paraId="4E1AA42B">
            <w:pPr>
              <w:pStyle w:val="44"/>
              <w:jc w:val="left"/>
              <w:rPr>
                <w:rFonts w:hint="eastAsia" w:ascii="微软雅黑"/>
                <w:b/>
                <w:color w:val="auto"/>
                <w:sz w:val="20"/>
                <w:highlight w:val="none"/>
              </w:rPr>
            </w:pPr>
          </w:p>
          <w:p w14:paraId="6F18E873">
            <w:pPr>
              <w:pStyle w:val="44"/>
              <w:jc w:val="left"/>
              <w:rPr>
                <w:rFonts w:hint="eastAsia" w:ascii="微软雅黑"/>
                <w:b/>
                <w:color w:val="auto"/>
                <w:sz w:val="20"/>
                <w:highlight w:val="none"/>
              </w:rPr>
            </w:pPr>
          </w:p>
          <w:p w14:paraId="299A7406">
            <w:pPr>
              <w:pStyle w:val="44"/>
              <w:jc w:val="left"/>
              <w:rPr>
                <w:rFonts w:hint="eastAsia" w:ascii="微软雅黑"/>
                <w:b/>
                <w:color w:val="auto"/>
                <w:sz w:val="20"/>
                <w:highlight w:val="none"/>
              </w:rPr>
            </w:pPr>
          </w:p>
          <w:p w14:paraId="2561C18E">
            <w:pPr>
              <w:pStyle w:val="44"/>
              <w:spacing w:before="9"/>
              <w:jc w:val="left"/>
              <w:rPr>
                <w:rFonts w:hint="eastAsia" w:ascii="微软雅黑"/>
                <w:b/>
                <w:color w:val="auto"/>
                <w:sz w:val="12"/>
                <w:highlight w:val="none"/>
              </w:rPr>
            </w:pPr>
          </w:p>
          <w:p w14:paraId="324B20FB">
            <w:pPr>
              <w:pStyle w:val="44"/>
              <w:spacing w:before="1" w:line="213" w:lineRule="auto"/>
              <w:ind w:left="37" w:right="24" w:firstLine="79"/>
              <w:jc w:val="left"/>
              <w:rPr>
                <w:rFonts w:hint="eastAsia"/>
                <w:color w:val="auto"/>
                <w:sz w:val="21"/>
                <w:highlight w:val="none"/>
              </w:rPr>
            </w:pPr>
            <w:r>
              <w:rPr>
                <w:rFonts w:ascii="Times New Roman" w:eastAsia="Times New Roman"/>
                <w:color w:val="auto"/>
                <w:sz w:val="21"/>
                <w:highlight w:val="none"/>
              </w:rPr>
              <w:t xml:space="preserve">10 </w:t>
            </w:r>
            <w:r>
              <w:rPr>
                <w:color w:val="auto"/>
                <w:sz w:val="21"/>
                <w:highlight w:val="none"/>
              </w:rPr>
              <w:t>非金属矿采选业</w:t>
            </w:r>
          </w:p>
        </w:tc>
        <w:tc>
          <w:tcPr>
            <w:tcW w:w="852" w:type="dxa"/>
          </w:tcPr>
          <w:p w14:paraId="073D0019">
            <w:pPr>
              <w:pStyle w:val="44"/>
              <w:jc w:val="left"/>
              <w:rPr>
                <w:rFonts w:hint="eastAsia" w:ascii="微软雅黑"/>
                <w:b/>
                <w:color w:val="auto"/>
                <w:sz w:val="20"/>
                <w:highlight w:val="none"/>
              </w:rPr>
            </w:pPr>
          </w:p>
          <w:p w14:paraId="4A397A6D">
            <w:pPr>
              <w:pStyle w:val="44"/>
              <w:jc w:val="left"/>
              <w:rPr>
                <w:rFonts w:hint="eastAsia" w:ascii="微软雅黑"/>
                <w:b/>
                <w:color w:val="auto"/>
                <w:sz w:val="20"/>
                <w:highlight w:val="none"/>
              </w:rPr>
            </w:pPr>
          </w:p>
          <w:p w14:paraId="1A1A7C0B">
            <w:pPr>
              <w:pStyle w:val="44"/>
              <w:jc w:val="left"/>
              <w:rPr>
                <w:rFonts w:hint="eastAsia" w:ascii="微软雅黑"/>
                <w:b/>
                <w:color w:val="auto"/>
                <w:sz w:val="20"/>
                <w:highlight w:val="none"/>
              </w:rPr>
            </w:pPr>
          </w:p>
          <w:p w14:paraId="051580AD">
            <w:pPr>
              <w:pStyle w:val="44"/>
              <w:jc w:val="left"/>
              <w:rPr>
                <w:rFonts w:hint="eastAsia" w:ascii="微软雅黑"/>
                <w:b/>
                <w:color w:val="auto"/>
                <w:sz w:val="20"/>
                <w:highlight w:val="none"/>
              </w:rPr>
            </w:pPr>
          </w:p>
          <w:p w14:paraId="24F615B0">
            <w:pPr>
              <w:pStyle w:val="44"/>
              <w:jc w:val="left"/>
              <w:rPr>
                <w:rFonts w:hint="eastAsia" w:ascii="微软雅黑"/>
                <w:b/>
                <w:color w:val="auto"/>
                <w:sz w:val="20"/>
                <w:highlight w:val="none"/>
              </w:rPr>
            </w:pPr>
          </w:p>
          <w:p w14:paraId="0FAAB431">
            <w:pPr>
              <w:pStyle w:val="44"/>
              <w:jc w:val="left"/>
              <w:rPr>
                <w:rFonts w:hint="eastAsia" w:ascii="微软雅黑"/>
                <w:b/>
                <w:color w:val="auto"/>
                <w:sz w:val="19"/>
                <w:highlight w:val="none"/>
              </w:rPr>
            </w:pPr>
          </w:p>
          <w:p w14:paraId="22CF7892">
            <w:pPr>
              <w:pStyle w:val="44"/>
              <w:spacing w:before="1" w:line="213" w:lineRule="auto"/>
              <w:ind w:left="109" w:right="22" w:hanging="80"/>
              <w:jc w:val="left"/>
              <w:rPr>
                <w:rFonts w:hint="eastAsia"/>
                <w:color w:val="auto"/>
                <w:sz w:val="21"/>
                <w:highlight w:val="none"/>
              </w:rPr>
            </w:pPr>
            <w:r>
              <w:rPr>
                <w:rFonts w:ascii="Times New Roman" w:eastAsia="Times New Roman"/>
                <w:color w:val="auto"/>
                <w:sz w:val="21"/>
                <w:highlight w:val="none"/>
              </w:rPr>
              <w:t xml:space="preserve">101 </w:t>
            </w:r>
            <w:r>
              <w:rPr>
                <w:color w:val="auto"/>
                <w:sz w:val="21"/>
                <w:highlight w:val="none"/>
              </w:rPr>
              <w:t>土砂石开采</w:t>
            </w:r>
          </w:p>
        </w:tc>
        <w:tc>
          <w:tcPr>
            <w:tcW w:w="850" w:type="dxa"/>
          </w:tcPr>
          <w:p w14:paraId="0C51386F">
            <w:pPr>
              <w:pStyle w:val="44"/>
              <w:jc w:val="left"/>
              <w:rPr>
                <w:rFonts w:hint="eastAsia" w:ascii="微软雅黑"/>
                <w:b/>
                <w:color w:val="auto"/>
                <w:highlight w:val="none"/>
              </w:rPr>
            </w:pPr>
          </w:p>
          <w:p w14:paraId="22EEA110">
            <w:pPr>
              <w:pStyle w:val="44"/>
              <w:jc w:val="left"/>
              <w:rPr>
                <w:rFonts w:hint="eastAsia" w:ascii="微软雅黑"/>
                <w:b/>
                <w:color w:val="auto"/>
                <w:highlight w:val="none"/>
              </w:rPr>
            </w:pPr>
          </w:p>
          <w:p w14:paraId="37A5B921">
            <w:pPr>
              <w:pStyle w:val="44"/>
              <w:jc w:val="left"/>
              <w:rPr>
                <w:rFonts w:hint="eastAsia" w:ascii="微软雅黑"/>
                <w:b/>
                <w:color w:val="auto"/>
                <w:highlight w:val="none"/>
              </w:rPr>
            </w:pPr>
          </w:p>
          <w:p w14:paraId="6BBC0A6A">
            <w:pPr>
              <w:pStyle w:val="44"/>
              <w:jc w:val="left"/>
              <w:rPr>
                <w:rFonts w:hint="eastAsia" w:ascii="微软雅黑"/>
                <w:b/>
                <w:color w:val="auto"/>
                <w:highlight w:val="none"/>
              </w:rPr>
            </w:pPr>
          </w:p>
          <w:p w14:paraId="27E88623">
            <w:pPr>
              <w:pStyle w:val="44"/>
              <w:spacing w:before="14"/>
              <w:jc w:val="left"/>
              <w:rPr>
                <w:rFonts w:hint="eastAsia" w:ascii="微软雅黑"/>
                <w:b/>
                <w:color w:val="auto"/>
                <w:sz w:val="16"/>
                <w:highlight w:val="none"/>
              </w:rPr>
            </w:pPr>
          </w:p>
          <w:p w14:paraId="1E6EA97C">
            <w:pPr>
              <w:pStyle w:val="44"/>
              <w:spacing w:line="255" w:lineRule="exact"/>
              <w:ind w:left="62" w:right="53"/>
              <w:rPr>
                <w:rFonts w:hint="eastAsia"/>
                <w:color w:val="auto"/>
                <w:sz w:val="21"/>
                <w:highlight w:val="none"/>
              </w:rPr>
            </w:pPr>
            <w:r>
              <w:rPr>
                <w:rFonts w:ascii="Times New Roman" w:eastAsia="Times New Roman"/>
                <w:color w:val="auto"/>
                <w:sz w:val="21"/>
                <w:highlight w:val="none"/>
              </w:rPr>
              <w:t xml:space="preserve">1011 </w:t>
            </w:r>
            <w:r>
              <w:rPr>
                <w:color w:val="auto"/>
                <w:sz w:val="21"/>
                <w:highlight w:val="none"/>
              </w:rPr>
              <w:t>石</w:t>
            </w:r>
          </w:p>
          <w:p w14:paraId="1668B970">
            <w:pPr>
              <w:pStyle w:val="44"/>
              <w:spacing w:before="8" w:line="213" w:lineRule="auto"/>
              <w:ind w:left="107" w:right="98"/>
              <w:rPr>
                <w:rFonts w:hint="eastAsia"/>
                <w:color w:val="auto"/>
                <w:sz w:val="21"/>
                <w:highlight w:val="none"/>
              </w:rPr>
            </w:pPr>
            <w:r>
              <w:rPr>
                <w:color w:val="auto"/>
                <w:sz w:val="21"/>
                <w:highlight w:val="none"/>
              </w:rPr>
              <w:t>灰石、石膏开采</w:t>
            </w:r>
          </w:p>
        </w:tc>
        <w:tc>
          <w:tcPr>
            <w:tcW w:w="715" w:type="dxa"/>
          </w:tcPr>
          <w:p w14:paraId="4A9ECACA">
            <w:pPr>
              <w:pStyle w:val="44"/>
              <w:jc w:val="left"/>
              <w:rPr>
                <w:rFonts w:hint="eastAsia" w:ascii="微软雅黑"/>
                <w:b/>
                <w:color w:val="auto"/>
                <w:sz w:val="20"/>
                <w:highlight w:val="none"/>
              </w:rPr>
            </w:pPr>
          </w:p>
          <w:p w14:paraId="48D67DB3">
            <w:pPr>
              <w:pStyle w:val="44"/>
              <w:jc w:val="left"/>
              <w:rPr>
                <w:rFonts w:hint="eastAsia" w:ascii="微软雅黑"/>
                <w:b/>
                <w:color w:val="auto"/>
                <w:sz w:val="20"/>
                <w:highlight w:val="none"/>
              </w:rPr>
            </w:pPr>
          </w:p>
          <w:p w14:paraId="67A11F75">
            <w:pPr>
              <w:pStyle w:val="44"/>
              <w:jc w:val="left"/>
              <w:rPr>
                <w:rFonts w:hint="eastAsia" w:ascii="微软雅黑"/>
                <w:b/>
                <w:color w:val="auto"/>
                <w:sz w:val="20"/>
                <w:highlight w:val="none"/>
              </w:rPr>
            </w:pPr>
          </w:p>
          <w:p w14:paraId="2B40A6C5">
            <w:pPr>
              <w:pStyle w:val="44"/>
              <w:jc w:val="left"/>
              <w:rPr>
                <w:rFonts w:hint="eastAsia" w:ascii="微软雅黑"/>
                <w:b/>
                <w:color w:val="auto"/>
                <w:sz w:val="20"/>
                <w:highlight w:val="none"/>
              </w:rPr>
            </w:pPr>
          </w:p>
          <w:p w14:paraId="6A4A902E">
            <w:pPr>
              <w:pStyle w:val="44"/>
              <w:jc w:val="left"/>
              <w:rPr>
                <w:rFonts w:hint="eastAsia" w:ascii="微软雅黑"/>
                <w:b/>
                <w:color w:val="auto"/>
                <w:sz w:val="20"/>
                <w:highlight w:val="none"/>
              </w:rPr>
            </w:pPr>
          </w:p>
          <w:p w14:paraId="498A32E4">
            <w:pPr>
              <w:pStyle w:val="44"/>
              <w:jc w:val="left"/>
              <w:rPr>
                <w:rFonts w:hint="eastAsia" w:ascii="微软雅黑"/>
                <w:b/>
                <w:color w:val="auto"/>
                <w:sz w:val="19"/>
                <w:highlight w:val="none"/>
              </w:rPr>
            </w:pPr>
          </w:p>
          <w:p w14:paraId="55CF2A2C">
            <w:pPr>
              <w:pStyle w:val="44"/>
              <w:spacing w:before="1"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0791AF8E">
            <w:pPr>
              <w:pStyle w:val="44"/>
              <w:spacing w:before="33" w:line="213" w:lineRule="auto"/>
              <w:ind w:left="26" w:right="60"/>
              <w:jc w:val="left"/>
              <w:rPr>
                <w:rFonts w:hint="eastAsia"/>
                <w:color w:val="auto"/>
                <w:sz w:val="21"/>
                <w:highlight w:val="none"/>
                <w:lang w:eastAsia="zh-CN"/>
              </w:rPr>
            </w:pPr>
            <w:r>
              <w:rPr>
                <w:rFonts w:ascii="Times New Roman" w:eastAsia="Times New Roman"/>
                <w:color w:val="auto"/>
                <w:sz w:val="21"/>
                <w:highlight w:val="none"/>
                <w:lang w:eastAsia="zh-CN"/>
              </w:rPr>
              <w:t>1.</w:t>
            </w:r>
            <w:r>
              <w:rPr>
                <w:color w:val="auto"/>
                <w:spacing w:val="-3"/>
                <w:sz w:val="21"/>
                <w:highlight w:val="none"/>
                <w:lang w:eastAsia="zh-CN"/>
              </w:rPr>
              <w:t>禁止违反产业政策、国土空间规划</w:t>
            </w:r>
            <w:r>
              <w:rPr>
                <w:color w:val="auto"/>
                <w:sz w:val="21"/>
                <w:highlight w:val="none"/>
                <w:lang w:eastAsia="zh-CN"/>
              </w:rPr>
              <w:t>（</w:t>
            </w:r>
            <w:r>
              <w:rPr>
                <w:color w:val="auto"/>
                <w:spacing w:val="-13"/>
                <w:sz w:val="21"/>
                <w:highlight w:val="none"/>
                <w:lang w:eastAsia="zh-CN"/>
              </w:rPr>
              <w:t>含</w:t>
            </w:r>
            <w:r>
              <w:rPr>
                <w:color w:val="auto"/>
                <w:spacing w:val="-3"/>
                <w:sz w:val="21"/>
                <w:highlight w:val="none"/>
                <w:lang w:eastAsia="zh-CN"/>
              </w:rPr>
              <w:t xml:space="preserve">矿产资源总体规划）布局新采矿项目； </w:t>
            </w:r>
            <w:r>
              <w:rPr>
                <w:rFonts w:ascii="Times New Roman" w:eastAsia="Times New Roman"/>
                <w:color w:val="auto"/>
                <w:spacing w:val="-3"/>
                <w:sz w:val="21"/>
                <w:highlight w:val="none"/>
                <w:lang w:eastAsia="zh-CN"/>
              </w:rPr>
              <w:t>2.</w:t>
            </w:r>
            <w:r>
              <w:rPr>
                <w:color w:val="auto"/>
                <w:spacing w:val="-4"/>
                <w:sz w:val="21"/>
                <w:highlight w:val="none"/>
                <w:lang w:eastAsia="zh-CN"/>
              </w:rPr>
              <w:t>符合产业转型升级政策和高质量发展要</w:t>
            </w:r>
            <w:r>
              <w:rPr>
                <w:color w:val="auto"/>
                <w:spacing w:val="-3"/>
                <w:sz w:val="21"/>
                <w:highlight w:val="none"/>
                <w:lang w:eastAsia="zh-CN"/>
              </w:rPr>
              <w:t>求，有利于产业转型升级、精细加工、延伸产业链、高附加值高质量发展，实现矿产资源可持续利用；</w:t>
            </w:r>
          </w:p>
          <w:p w14:paraId="14BCF0C7">
            <w:pPr>
              <w:pStyle w:val="44"/>
              <w:spacing w:before="4" w:line="213" w:lineRule="auto"/>
              <w:ind w:left="26" w:right="60"/>
              <w:jc w:val="left"/>
              <w:rPr>
                <w:rFonts w:hint="eastAsia"/>
                <w:color w:val="auto"/>
                <w:sz w:val="21"/>
                <w:highlight w:val="none"/>
                <w:lang w:eastAsia="zh-CN"/>
              </w:rPr>
            </w:pPr>
            <w:r>
              <w:rPr>
                <w:rFonts w:ascii="Times New Roman" w:eastAsia="Times New Roman"/>
                <w:color w:val="auto"/>
                <w:sz w:val="21"/>
                <w:highlight w:val="none"/>
                <w:lang w:eastAsia="zh-CN"/>
              </w:rPr>
              <w:t>3.</w:t>
            </w:r>
            <w:r>
              <w:rPr>
                <w:color w:val="auto"/>
                <w:sz w:val="21"/>
                <w:highlight w:val="none"/>
                <w:lang w:eastAsia="zh-CN"/>
              </w:rPr>
              <w:t>未达到清洁生产国内先进水平的企业， 应按照国家和自治区生态环境保护政</w:t>
            </w:r>
            <w:r>
              <w:rPr>
                <w:color w:val="auto"/>
                <w:spacing w:val="-3"/>
                <w:sz w:val="21"/>
                <w:highlight w:val="none"/>
                <w:lang w:eastAsia="zh-CN"/>
              </w:rPr>
              <w:t xml:space="preserve">策、产业政策有关要求完成升级改造； </w:t>
            </w:r>
            <w:r>
              <w:rPr>
                <w:rFonts w:ascii="Times New Roman" w:eastAsia="Times New Roman"/>
                <w:color w:val="auto"/>
                <w:spacing w:val="-3"/>
                <w:sz w:val="21"/>
                <w:highlight w:val="none"/>
                <w:lang w:eastAsia="zh-CN"/>
              </w:rPr>
              <w:t>4.</w:t>
            </w:r>
            <w:r>
              <w:rPr>
                <w:color w:val="auto"/>
                <w:spacing w:val="-4"/>
                <w:sz w:val="21"/>
                <w:highlight w:val="none"/>
                <w:lang w:eastAsia="zh-CN"/>
              </w:rPr>
              <w:t>项目对生态造成破坏的，应立即开展土</w:t>
            </w:r>
            <w:r>
              <w:rPr>
                <w:color w:val="auto"/>
                <w:spacing w:val="-3"/>
                <w:sz w:val="21"/>
                <w:highlight w:val="none"/>
                <w:lang w:eastAsia="zh-CN"/>
              </w:rPr>
              <w:t>壤污染情况评估和治理，并限期完成水土流失治理和生态修复；现有历史遗留废弃矿山，应当按照各级国土空间生态修复规划等相关规划要求，限期完成生态修复；位于水土流失重点治理区、生态问题突出区的现有项目应按照国家和自治区生态环境保护政策、产业政策有关要求退出，并对尾矿库消除安全隐患和污染风险，推进资源综合利用和生态修复</w:t>
            </w:r>
          </w:p>
        </w:tc>
        <w:tc>
          <w:tcPr>
            <w:tcW w:w="1659" w:type="dxa"/>
          </w:tcPr>
          <w:p w14:paraId="2F6DBB2A">
            <w:pPr>
              <w:pStyle w:val="44"/>
              <w:jc w:val="left"/>
              <w:rPr>
                <w:rFonts w:hint="eastAsia" w:ascii="微软雅黑"/>
                <w:b/>
                <w:color w:val="auto"/>
                <w:sz w:val="20"/>
                <w:highlight w:val="none"/>
                <w:lang w:eastAsia="zh-CN"/>
              </w:rPr>
            </w:pPr>
          </w:p>
          <w:p w14:paraId="1FB20EEE">
            <w:pPr>
              <w:pStyle w:val="44"/>
              <w:jc w:val="left"/>
              <w:rPr>
                <w:rFonts w:hint="eastAsia" w:ascii="微软雅黑"/>
                <w:b/>
                <w:color w:val="auto"/>
                <w:sz w:val="20"/>
                <w:highlight w:val="none"/>
                <w:lang w:eastAsia="zh-CN"/>
              </w:rPr>
            </w:pPr>
          </w:p>
          <w:p w14:paraId="0CF37DAE">
            <w:pPr>
              <w:pStyle w:val="44"/>
              <w:jc w:val="left"/>
              <w:rPr>
                <w:rFonts w:hint="eastAsia" w:ascii="微软雅黑"/>
                <w:b/>
                <w:color w:val="auto"/>
                <w:sz w:val="20"/>
                <w:highlight w:val="none"/>
                <w:lang w:eastAsia="zh-CN"/>
              </w:rPr>
            </w:pPr>
          </w:p>
          <w:p w14:paraId="74293F0B">
            <w:pPr>
              <w:pStyle w:val="44"/>
              <w:jc w:val="left"/>
              <w:rPr>
                <w:rFonts w:hint="eastAsia" w:ascii="微软雅黑"/>
                <w:b/>
                <w:color w:val="auto"/>
                <w:sz w:val="20"/>
                <w:highlight w:val="none"/>
                <w:lang w:eastAsia="zh-CN"/>
              </w:rPr>
            </w:pPr>
          </w:p>
          <w:p w14:paraId="6D648A18">
            <w:pPr>
              <w:pStyle w:val="44"/>
              <w:jc w:val="left"/>
              <w:rPr>
                <w:rFonts w:hint="eastAsia" w:ascii="微软雅黑"/>
                <w:b/>
                <w:color w:val="auto"/>
                <w:sz w:val="20"/>
                <w:highlight w:val="none"/>
                <w:lang w:eastAsia="zh-CN"/>
              </w:rPr>
            </w:pPr>
          </w:p>
          <w:p w14:paraId="4512B9B9">
            <w:pPr>
              <w:pStyle w:val="44"/>
              <w:jc w:val="left"/>
              <w:rPr>
                <w:rFonts w:hint="eastAsia" w:ascii="微软雅黑"/>
                <w:b/>
                <w:color w:val="auto"/>
                <w:sz w:val="19"/>
                <w:highlight w:val="none"/>
                <w:lang w:eastAsia="zh-CN"/>
              </w:rPr>
            </w:pPr>
          </w:p>
          <w:p w14:paraId="7A6BC38C">
            <w:pPr>
              <w:pStyle w:val="44"/>
              <w:spacing w:before="1"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3F973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16" w:type="dxa"/>
          </w:tcPr>
          <w:p w14:paraId="2B98A902">
            <w:pPr>
              <w:pStyle w:val="44"/>
              <w:spacing w:before="144"/>
              <w:ind w:left="102"/>
              <w:jc w:val="left"/>
              <w:rPr>
                <w:rFonts w:hint="eastAsia" w:ascii="Times New Roman"/>
                <w:color w:val="auto"/>
                <w:sz w:val="21"/>
                <w:highlight w:val="none"/>
              </w:rPr>
            </w:pPr>
            <w:r>
              <w:rPr>
                <w:rFonts w:ascii="Times New Roman"/>
                <w:color w:val="auto"/>
                <w:sz w:val="21"/>
                <w:highlight w:val="none"/>
              </w:rPr>
              <w:t>14</w:t>
            </w:r>
          </w:p>
        </w:tc>
        <w:tc>
          <w:tcPr>
            <w:tcW w:w="708" w:type="dxa"/>
            <w:vMerge w:val="restart"/>
          </w:tcPr>
          <w:p w14:paraId="1A98776A">
            <w:pPr>
              <w:pStyle w:val="44"/>
              <w:jc w:val="left"/>
              <w:rPr>
                <w:rFonts w:hint="eastAsia" w:ascii="微软雅黑"/>
                <w:b/>
                <w:color w:val="auto"/>
                <w:sz w:val="20"/>
                <w:highlight w:val="none"/>
              </w:rPr>
            </w:pPr>
          </w:p>
          <w:p w14:paraId="6629CE22">
            <w:pPr>
              <w:pStyle w:val="44"/>
              <w:jc w:val="left"/>
              <w:rPr>
                <w:rFonts w:hint="eastAsia" w:ascii="微软雅黑"/>
                <w:b/>
                <w:color w:val="auto"/>
                <w:sz w:val="20"/>
                <w:highlight w:val="none"/>
              </w:rPr>
            </w:pPr>
          </w:p>
          <w:p w14:paraId="6CD5EA21">
            <w:pPr>
              <w:pStyle w:val="44"/>
              <w:jc w:val="left"/>
              <w:rPr>
                <w:rFonts w:hint="eastAsia" w:ascii="微软雅黑"/>
                <w:b/>
                <w:color w:val="auto"/>
                <w:sz w:val="20"/>
                <w:highlight w:val="none"/>
              </w:rPr>
            </w:pPr>
          </w:p>
          <w:p w14:paraId="6583F6E3">
            <w:pPr>
              <w:pStyle w:val="44"/>
              <w:jc w:val="left"/>
              <w:rPr>
                <w:rFonts w:hint="eastAsia" w:ascii="微软雅黑"/>
                <w:b/>
                <w:color w:val="auto"/>
                <w:sz w:val="20"/>
                <w:highlight w:val="none"/>
              </w:rPr>
            </w:pPr>
          </w:p>
          <w:p w14:paraId="12A348E5">
            <w:pPr>
              <w:pStyle w:val="44"/>
              <w:jc w:val="left"/>
              <w:rPr>
                <w:rFonts w:hint="eastAsia" w:ascii="微软雅黑"/>
                <w:b/>
                <w:color w:val="auto"/>
                <w:sz w:val="20"/>
                <w:highlight w:val="none"/>
              </w:rPr>
            </w:pPr>
          </w:p>
          <w:p w14:paraId="1D303849">
            <w:pPr>
              <w:pStyle w:val="44"/>
              <w:jc w:val="left"/>
              <w:rPr>
                <w:rFonts w:hint="eastAsia" w:ascii="微软雅黑"/>
                <w:b/>
                <w:color w:val="auto"/>
                <w:sz w:val="20"/>
                <w:highlight w:val="none"/>
              </w:rPr>
            </w:pPr>
          </w:p>
          <w:p w14:paraId="5DEBF9BF">
            <w:pPr>
              <w:pStyle w:val="44"/>
              <w:jc w:val="left"/>
              <w:rPr>
                <w:rFonts w:hint="eastAsia" w:ascii="微软雅黑"/>
                <w:b/>
                <w:color w:val="auto"/>
                <w:sz w:val="20"/>
                <w:highlight w:val="none"/>
              </w:rPr>
            </w:pPr>
          </w:p>
          <w:p w14:paraId="40D8FB30">
            <w:pPr>
              <w:pStyle w:val="44"/>
              <w:spacing w:before="10"/>
              <w:jc w:val="left"/>
              <w:rPr>
                <w:rFonts w:hint="eastAsia" w:ascii="微软雅黑"/>
                <w:b/>
                <w:color w:val="auto"/>
                <w:sz w:val="20"/>
                <w:highlight w:val="none"/>
              </w:rPr>
            </w:pPr>
          </w:p>
          <w:p w14:paraId="5F29425E">
            <w:pPr>
              <w:pStyle w:val="44"/>
              <w:spacing w:line="213" w:lineRule="auto"/>
              <w:ind w:left="246" w:right="36" w:hanging="200"/>
              <w:jc w:val="left"/>
              <w:rPr>
                <w:rFonts w:hint="eastAsia"/>
                <w:color w:val="auto"/>
                <w:sz w:val="21"/>
                <w:highlight w:val="none"/>
              </w:rPr>
            </w:pPr>
            <w:r>
              <w:rPr>
                <w:rFonts w:ascii="Times New Roman" w:eastAsia="Times New Roman"/>
                <w:color w:val="auto"/>
                <w:sz w:val="21"/>
                <w:highlight w:val="none"/>
              </w:rPr>
              <w:t xml:space="preserve">C </w:t>
            </w:r>
            <w:r>
              <w:rPr>
                <w:color w:val="auto"/>
                <w:sz w:val="21"/>
                <w:highlight w:val="none"/>
              </w:rPr>
              <w:t>制造业</w:t>
            </w:r>
          </w:p>
        </w:tc>
        <w:tc>
          <w:tcPr>
            <w:tcW w:w="708" w:type="dxa"/>
            <w:vMerge w:val="restart"/>
          </w:tcPr>
          <w:p w14:paraId="4CE3F97F">
            <w:pPr>
              <w:pStyle w:val="44"/>
              <w:jc w:val="left"/>
              <w:rPr>
                <w:rFonts w:hint="eastAsia" w:ascii="微软雅黑"/>
                <w:b/>
                <w:color w:val="auto"/>
                <w:sz w:val="20"/>
                <w:highlight w:val="none"/>
              </w:rPr>
            </w:pPr>
          </w:p>
          <w:p w14:paraId="60E765CF">
            <w:pPr>
              <w:pStyle w:val="44"/>
              <w:jc w:val="left"/>
              <w:rPr>
                <w:rFonts w:hint="eastAsia" w:ascii="微软雅黑"/>
                <w:b/>
                <w:color w:val="auto"/>
                <w:sz w:val="20"/>
                <w:highlight w:val="none"/>
              </w:rPr>
            </w:pPr>
          </w:p>
          <w:p w14:paraId="2839ACE3">
            <w:pPr>
              <w:pStyle w:val="44"/>
              <w:spacing w:before="16"/>
              <w:jc w:val="left"/>
              <w:rPr>
                <w:rFonts w:hint="eastAsia" w:ascii="微软雅黑"/>
                <w:b/>
                <w:color w:val="auto"/>
                <w:sz w:val="10"/>
                <w:highlight w:val="none"/>
              </w:rPr>
            </w:pPr>
          </w:p>
          <w:p w14:paraId="47AA4F84">
            <w:pPr>
              <w:pStyle w:val="44"/>
              <w:spacing w:before="1" w:line="213" w:lineRule="auto"/>
              <w:ind w:left="37" w:right="24" w:firstLine="79"/>
              <w:jc w:val="left"/>
              <w:rPr>
                <w:rFonts w:hint="eastAsia"/>
                <w:color w:val="auto"/>
                <w:sz w:val="21"/>
                <w:highlight w:val="none"/>
              </w:rPr>
            </w:pPr>
            <w:r>
              <w:rPr>
                <w:rFonts w:ascii="Times New Roman" w:eastAsia="Times New Roman"/>
                <w:color w:val="auto"/>
                <w:sz w:val="21"/>
                <w:highlight w:val="none"/>
              </w:rPr>
              <w:t xml:space="preserve">13 </w:t>
            </w:r>
            <w:r>
              <w:rPr>
                <w:color w:val="auto"/>
                <w:sz w:val="21"/>
                <w:highlight w:val="none"/>
              </w:rPr>
              <w:t>农副食品加工业</w:t>
            </w:r>
          </w:p>
        </w:tc>
        <w:tc>
          <w:tcPr>
            <w:tcW w:w="852" w:type="dxa"/>
          </w:tcPr>
          <w:p w14:paraId="6BB946A1">
            <w:pPr>
              <w:pStyle w:val="44"/>
              <w:spacing w:before="33" w:line="213" w:lineRule="auto"/>
              <w:ind w:left="318" w:right="22" w:hanging="288"/>
              <w:jc w:val="left"/>
              <w:rPr>
                <w:rFonts w:hint="eastAsia"/>
                <w:color w:val="auto"/>
                <w:sz w:val="21"/>
                <w:highlight w:val="none"/>
              </w:rPr>
            </w:pPr>
            <w:r>
              <w:rPr>
                <w:rFonts w:ascii="Times New Roman" w:eastAsia="Times New Roman"/>
                <w:color w:val="auto"/>
                <w:sz w:val="21"/>
                <w:highlight w:val="none"/>
              </w:rPr>
              <w:t xml:space="preserve">134 </w:t>
            </w:r>
            <w:r>
              <w:rPr>
                <w:color w:val="auto"/>
                <w:sz w:val="21"/>
                <w:highlight w:val="none"/>
              </w:rPr>
              <w:t>制糖业</w:t>
            </w:r>
          </w:p>
        </w:tc>
        <w:tc>
          <w:tcPr>
            <w:tcW w:w="850" w:type="dxa"/>
          </w:tcPr>
          <w:p w14:paraId="3DD779DC">
            <w:pPr>
              <w:pStyle w:val="44"/>
              <w:spacing w:before="10" w:line="255" w:lineRule="exact"/>
              <w:ind w:left="63" w:right="52"/>
              <w:rPr>
                <w:rFonts w:hint="eastAsia"/>
                <w:color w:val="auto"/>
                <w:sz w:val="21"/>
                <w:highlight w:val="none"/>
              </w:rPr>
            </w:pPr>
            <w:r>
              <w:rPr>
                <w:rFonts w:ascii="Times New Roman" w:eastAsia="Times New Roman"/>
                <w:color w:val="auto"/>
                <w:sz w:val="21"/>
                <w:highlight w:val="none"/>
              </w:rPr>
              <w:t xml:space="preserve">1340 </w:t>
            </w:r>
            <w:r>
              <w:rPr>
                <w:color w:val="auto"/>
                <w:sz w:val="21"/>
                <w:highlight w:val="none"/>
              </w:rPr>
              <w:t>制</w:t>
            </w:r>
          </w:p>
          <w:p w14:paraId="0E6AD201">
            <w:pPr>
              <w:pStyle w:val="44"/>
              <w:spacing w:line="250" w:lineRule="exact"/>
              <w:ind w:left="61" w:right="53"/>
              <w:rPr>
                <w:rFonts w:hint="eastAsia"/>
                <w:color w:val="auto"/>
                <w:sz w:val="21"/>
                <w:highlight w:val="none"/>
              </w:rPr>
            </w:pPr>
            <w:r>
              <w:rPr>
                <w:color w:val="auto"/>
                <w:sz w:val="21"/>
                <w:highlight w:val="none"/>
              </w:rPr>
              <w:t>糖业</w:t>
            </w:r>
          </w:p>
        </w:tc>
        <w:tc>
          <w:tcPr>
            <w:tcW w:w="715" w:type="dxa"/>
          </w:tcPr>
          <w:p w14:paraId="3307251D">
            <w:pPr>
              <w:pStyle w:val="44"/>
              <w:spacing w:before="33"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34279E94">
            <w:pPr>
              <w:pStyle w:val="44"/>
              <w:spacing w:before="33" w:line="213" w:lineRule="auto"/>
              <w:ind w:left="26" w:right="218"/>
              <w:jc w:val="left"/>
              <w:rPr>
                <w:rFonts w:hint="eastAsia"/>
                <w:color w:val="auto"/>
                <w:sz w:val="21"/>
                <w:highlight w:val="none"/>
                <w:lang w:eastAsia="zh-CN"/>
              </w:rPr>
            </w:pPr>
            <w:r>
              <w:rPr>
                <w:color w:val="auto"/>
                <w:sz w:val="21"/>
                <w:highlight w:val="none"/>
                <w:lang w:eastAsia="zh-CN"/>
              </w:rPr>
              <w:t>新项目入园区发展，对现有企业进行环保措施改造升级</w:t>
            </w:r>
          </w:p>
        </w:tc>
        <w:tc>
          <w:tcPr>
            <w:tcW w:w="1659" w:type="dxa"/>
          </w:tcPr>
          <w:p w14:paraId="6EFB73D2">
            <w:pPr>
              <w:pStyle w:val="44"/>
              <w:spacing w:before="33"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19226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416" w:type="dxa"/>
          </w:tcPr>
          <w:p w14:paraId="27A25F93">
            <w:pPr>
              <w:pStyle w:val="44"/>
              <w:spacing w:before="6"/>
              <w:jc w:val="left"/>
              <w:rPr>
                <w:rFonts w:hint="eastAsia" w:ascii="微软雅黑"/>
                <w:b/>
                <w:color w:val="auto"/>
                <w:sz w:val="14"/>
                <w:highlight w:val="none"/>
                <w:lang w:eastAsia="zh-CN"/>
              </w:rPr>
            </w:pPr>
          </w:p>
          <w:p w14:paraId="1B395855">
            <w:pPr>
              <w:pStyle w:val="44"/>
              <w:ind w:left="102"/>
              <w:jc w:val="left"/>
              <w:rPr>
                <w:rFonts w:hint="eastAsia" w:ascii="Times New Roman"/>
                <w:color w:val="auto"/>
                <w:sz w:val="21"/>
                <w:highlight w:val="none"/>
              </w:rPr>
            </w:pPr>
            <w:r>
              <w:rPr>
                <w:rFonts w:ascii="Times New Roman"/>
                <w:color w:val="auto"/>
                <w:sz w:val="21"/>
                <w:highlight w:val="none"/>
              </w:rPr>
              <w:t>15</w:t>
            </w:r>
          </w:p>
        </w:tc>
        <w:tc>
          <w:tcPr>
            <w:tcW w:w="708" w:type="dxa"/>
            <w:vMerge w:val="continue"/>
            <w:tcBorders>
              <w:top w:val="nil"/>
            </w:tcBorders>
          </w:tcPr>
          <w:p w14:paraId="01FE64C3">
            <w:pPr>
              <w:rPr>
                <w:rFonts w:hint="eastAsia"/>
                <w:color w:val="auto"/>
                <w:sz w:val="2"/>
                <w:szCs w:val="2"/>
                <w:highlight w:val="none"/>
              </w:rPr>
            </w:pPr>
          </w:p>
        </w:tc>
        <w:tc>
          <w:tcPr>
            <w:tcW w:w="708" w:type="dxa"/>
            <w:vMerge w:val="continue"/>
            <w:tcBorders>
              <w:top w:val="nil"/>
            </w:tcBorders>
          </w:tcPr>
          <w:p w14:paraId="176C42F1">
            <w:pPr>
              <w:rPr>
                <w:rFonts w:hint="eastAsia"/>
                <w:color w:val="auto"/>
                <w:sz w:val="2"/>
                <w:szCs w:val="2"/>
                <w:highlight w:val="none"/>
              </w:rPr>
            </w:pPr>
          </w:p>
        </w:tc>
        <w:tc>
          <w:tcPr>
            <w:tcW w:w="852" w:type="dxa"/>
          </w:tcPr>
          <w:p w14:paraId="2F50D093">
            <w:pPr>
              <w:pStyle w:val="44"/>
              <w:spacing w:before="33" w:line="213" w:lineRule="auto"/>
              <w:ind w:left="30" w:right="22"/>
              <w:rPr>
                <w:rFonts w:hint="eastAsia"/>
                <w:color w:val="auto"/>
                <w:sz w:val="21"/>
                <w:highlight w:val="none"/>
              </w:rPr>
            </w:pPr>
            <w:r>
              <w:rPr>
                <w:rFonts w:ascii="Times New Roman" w:eastAsia="Times New Roman"/>
                <w:color w:val="auto"/>
                <w:sz w:val="21"/>
                <w:highlight w:val="none"/>
              </w:rPr>
              <w:t xml:space="preserve">135 </w:t>
            </w:r>
            <w:r>
              <w:rPr>
                <w:color w:val="auto"/>
                <w:sz w:val="21"/>
                <w:highlight w:val="none"/>
              </w:rPr>
              <w:t>屠宰及肉类加工</w:t>
            </w:r>
          </w:p>
        </w:tc>
        <w:tc>
          <w:tcPr>
            <w:tcW w:w="850" w:type="dxa"/>
          </w:tcPr>
          <w:p w14:paraId="4A5E6AA6">
            <w:pPr>
              <w:pStyle w:val="44"/>
              <w:spacing w:before="130" w:line="255" w:lineRule="exact"/>
              <w:ind w:left="83"/>
              <w:jc w:val="left"/>
              <w:rPr>
                <w:rFonts w:hint="eastAsia"/>
                <w:color w:val="auto"/>
                <w:sz w:val="21"/>
                <w:highlight w:val="none"/>
              </w:rPr>
            </w:pPr>
            <w:r>
              <w:rPr>
                <w:rFonts w:ascii="Times New Roman" w:eastAsia="Times New Roman"/>
                <w:color w:val="auto"/>
                <w:sz w:val="21"/>
                <w:highlight w:val="none"/>
              </w:rPr>
              <w:t>1351</w:t>
            </w:r>
            <w:r>
              <w:rPr>
                <w:rFonts w:ascii="Times New Roman" w:eastAsia="Times New Roman"/>
                <w:color w:val="auto"/>
                <w:spacing w:val="1"/>
                <w:sz w:val="21"/>
                <w:highlight w:val="none"/>
              </w:rPr>
              <w:t xml:space="preserve"> </w:t>
            </w:r>
            <w:r>
              <w:rPr>
                <w:color w:val="auto"/>
                <w:sz w:val="21"/>
                <w:highlight w:val="none"/>
              </w:rPr>
              <w:t>牲</w:t>
            </w:r>
          </w:p>
          <w:p w14:paraId="232E3494">
            <w:pPr>
              <w:pStyle w:val="44"/>
              <w:spacing w:line="255" w:lineRule="exact"/>
              <w:ind w:left="107"/>
              <w:jc w:val="left"/>
              <w:rPr>
                <w:rFonts w:hint="eastAsia"/>
                <w:color w:val="auto"/>
                <w:sz w:val="21"/>
                <w:highlight w:val="none"/>
              </w:rPr>
            </w:pPr>
            <w:r>
              <w:rPr>
                <w:color w:val="auto"/>
                <w:sz w:val="21"/>
                <w:highlight w:val="none"/>
              </w:rPr>
              <w:t>畜屠宰</w:t>
            </w:r>
          </w:p>
        </w:tc>
        <w:tc>
          <w:tcPr>
            <w:tcW w:w="715" w:type="dxa"/>
          </w:tcPr>
          <w:p w14:paraId="3EA3D62D">
            <w:pPr>
              <w:pStyle w:val="44"/>
              <w:spacing w:before="153"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2E5C4FF8">
            <w:pPr>
              <w:pStyle w:val="44"/>
              <w:numPr>
                <w:ilvl w:val="0"/>
                <w:numId w:val="8"/>
              </w:numPr>
              <w:tabs>
                <w:tab w:val="left" w:pos="186"/>
              </w:tabs>
              <w:spacing w:before="10" w:line="255" w:lineRule="exact"/>
              <w:jc w:val="left"/>
              <w:rPr>
                <w:rFonts w:hint="eastAsia"/>
                <w:color w:val="auto"/>
                <w:sz w:val="21"/>
                <w:highlight w:val="none"/>
                <w:lang w:eastAsia="zh-CN"/>
              </w:rPr>
            </w:pPr>
            <w:r>
              <w:rPr>
                <w:color w:val="auto"/>
                <w:spacing w:val="-3"/>
                <w:sz w:val="21"/>
                <w:highlight w:val="none"/>
                <w:lang w:eastAsia="zh-CN"/>
              </w:rPr>
              <w:t>新建项目仅限布局于屠宰场规划区；</w:t>
            </w:r>
          </w:p>
          <w:p w14:paraId="2674ABD8">
            <w:pPr>
              <w:pStyle w:val="44"/>
              <w:numPr>
                <w:ilvl w:val="0"/>
                <w:numId w:val="8"/>
              </w:numPr>
              <w:tabs>
                <w:tab w:val="left" w:pos="186"/>
              </w:tabs>
              <w:spacing w:before="9" w:line="213" w:lineRule="auto"/>
              <w:ind w:left="26" w:right="60" w:firstLine="0"/>
              <w:jc w:val="left"/>
              <w:rPr>
                <w:rFonts w:hint="eastAsia"/>
                <w:color w:val="auto"/>
                <w:sz w:val="21"/>
                <w:highlight w:val="none"/>
                <w:lang w:eastAsia="zh-CN"/>
              </w:rPr>
            </w:pPr>
            <w:r>
              <w:rPr>
                <w:color w:val="auto"/>
                <w:spacing w:val="-4"/>
                <w:sz w:val="21"/>
                <w:highlight w:val="none"/>
                <w:lang w:eastAsia="zh-CN"/>
              </w:rPr>
              <w:t>屠宰工艺必须达到国内先进水平，恶臭</w:t>
            </w:r>
            <w:r>
              <w:rPr>
                <w:color w:val="auto"/>
                <w:spacing w:val="-3"/>
                <w:sz w:val="21"/>
                <w:highlight w:val="none"/>
                <w:lang w:eastAsia="zh-CN"/>
              </w:rPr>
              <w:t>污染物排放浓度必须达到国家一级标准</w:t>
            </w:r>
          </w:p>
        </w:tc>
        <w:tc>
          <w:tcPr>
            <w:tcW w:w="1659" w:type="dxa"/>
          </w:tcPr>
          <w:p w14:paraId="64F153A2">
            <w:pPr>
              <w:pStyle w:val="44"/>
              <w:spacing w:before="153"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1AC23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416" w:type="dxa"/>
          </w:tcPr>
          <w:p w14:paraId="583E2842">
            <w:pPr>
              <w:pStyle w:val="44"/>
              <w:spacing w:before="6"/>
              <w:jc w:val="left"/>
              <w:rPr>
                <w:rFonts w:hint="eastAsia" w:ascii="微软雅黑"/>
                <w:b/>
                <w:color w:val="auto"/>
                <w:sz w:val="27"/>
                <w:highlight w:val="none"/>
                <w:lang w:eastAsia="zh-CN"/>
              </w:rPr>
            </w:pPr>
          </w:p>
          <w:p w14:paraId="639B4E35">
            <w:pPr>
              <w:pStyle w:val="44"/>
              <w:spacing w:before="1"/>
              <w:ind w:left="102"/>
              <w:jc w:val="left"/>
              <w:rPr>
                <w:rFonts w:hint="eastAsia" w:ascii="Times New Roman"/>
                <w:color w:val="auto"/>
                <w:sz w:val="21"/>
                <w:highlight w:val="none"/>
              </w:rPr>
            </w:pPr>
            <w:r>
              <w:rPr>
                <w:rFonts w:ascii="Times New Roman"/>
                <w:color w:val="auto"/>
                <w:sz w:val="21"/>
                <w:highlight w:val="none"/>
              </w:rPr>
              <w:t>17</w:t>
            </w:r>
          </w:p>
        </w:tc>
        <w:tc>
          <w:tcPr>
            <w:tcW w:w="708" w:type="dxa"/>
            <w:vMerge w:val="continue"/>
            <w:tcBorders>
              <w:top w:val="nil"/>
            </w:tcBorders>
          </w:tcPr>
          <w:p w14:paraId="5814261D">
            <w:pPr>
              <w:rPr>
                <w:rFonts w:hint="eastAsia"/>
                <w:color w:val="auto"/>
                <w:sz w:val="2"/>
                <w:szCs w:val="2"/>
                <w:highlight w:val="none"/>
              </w:rPr>
            </w:pPr>
          </w:p>
        </w:tc>
        <w:tc>
          <w:tcPr>
            <w:tcW w:w="708" w:type="dxa"/>
            <w:vMerge w:val="continue"/>
            <w:tcBorders>
              <w:top w:val="nil"/>
            </w:tcBorders>
          </w:tcPr>
          <w:p w14:paraId="1806FEBB">
            <w:pPr>
              <w:rPr>
                <w:rFonts w:hint="eastAsia"/>
                <w:color w:val="auto"/>
                <w:sz w:val="2"/>
                <w:szCs w:val="2"/>
                <w:highlight w:val="none"/>
              </w:rPr>
            </w:pPr>
          </w:p>
        </w:tc>
        <w:tc>
          <w:tcPr>
            <w:tcW w:w="852" w:type="dxa"/>
          </w:tcPr>
          <w:p w14:paraId="5F66F764">
            <w:pPr>
              <w:pStyle w:val="44"/>
              <w:spacing w:before="10" w:line="255" w:lineRule="exact"/>
              <w:ind w:left="136"/>
              <w:jc w:val="both"/>
              <w:rPr>
                <w:rFonts w:hint="eastAsia"/>
                <w:color w:val="auto"/>
                <w:sz w:val="21"/>
                <w:highlight w:val="none"/>
                <w:lang w:eastAsia="zh-CN"/>
              </w:rPr>
            </w:pPr>
            <w:r>
              <w:rPr>
                <w:rFonts w:ascii="Times New Roman" w:eastAsia="Times New Roman"/>
                <w:color w:val="auto"/>
                <w:sz w:val="21"/>
                <w:highlight w:val="none"/>
                <w:lang w:eastAsia="zh-CN"/>
              </w:rPr>
              <w:t>137</w:t>
            </w:r>
            <w:r>
              <w:rPr>
                <w:rFonts w:ascii="Times New Roman" w:eastAsia="Times New Roman"/>
                <w:color w:val="auto"/>
                <w:spacing w:val="3"/>
                <w:sz w:val="21"/>
                <w:highlight w:val="none"/>
                <w:lang w:eastAsia="zh-CN"/>
              </w:rPr>
              <w:t xml:space="preserve"> </w:t>
            </w:r>
            <w:r>
              <w:rPr>
                <w:color w:val="auto"/>
                <w:sz w:val="21"/>
                <w:highlight w:val="none"/>
                <w:lang w:eastAsia="zh-CN"/>
              </w:rPr>
              <w:t>蔬</w:t>
            </w:r>
          </w:p>
          <w:p w14:paraId="0C2D9EA8">
            <w:pPr>
              <w:pStyle w:val="44"/>
              <w:spacing w:before="9" w:line="213" w:lineRule="auto"/>
              <w:ind w:left="109" w:right="96"/>
              <w:jc w:val="both"/>
              <w:rPr>
                <w:rFonts w:hint="eastAsia"/>
                <w:color w:val="auto"/>
                <w:sz w:val="21"/>
                <w:highlight w:val="none"/>
                <w:lang w:eastAsia="zh-CN"/>
              </w:rPr>
            </w:pPr>
            <w:r>
              <w:rPr>
                <w:color w:val="auto"/>
                <w:spacing w:val="-6"/>
                <w:sz w:val="21"/>
                <w:highlight w:val="none"/>
                <w:lang w:eastAsia="zh-CN"/>
              </w:rPr>
              <w:t>菜、菌类、水果和坚果加工</w:t>
            </w:r>
          </w:p>
        </w:tc>
        <w:tc>
          <w:tcPr>
            <w:tcW w:w="850" w:type="dxa"/>
          </w:tcPr>
          <w:p w14:paraId="4D2C5904">
            <w:pPr>
              <w:pStyle w:val="44"/>
              <w:spacing w:before="10"/>
              <w:jc w:val="left"/>
              <w:rPr>
                <w:rFonts w:hint="eastAsia" w:ascii="微软雅黑"/>
                <w:b/>
                <w:color w:val="auto"/>
                <w:sz w:val="13"/>
                <w:highlight w:val="none"/>
                <w:lang w:eastAsia="zh-CN"/>
              </w:rPr>
            </w:pPr>
          </w:p>
          <w:p w14:paraId="395FBAF5">
            <w:pPr>
              <w:pStyle w:val="44"/>
              <w:spacing w:before="1" w:line="255" w:lineRule="exact"/>
              <w:ind w:left="83"/>
              <w:jc w:val="left"/>
              <w:rPr>
                <w:rFonts w:hint="eastAsia"/>
                <w:color w:val="auto"/>
                <w:sz w:val="21"/>
                <w:highlight w:val="none"/>
              </w:rPr>
            </w:pPr>
            <w:r>
              <w:rPr>
                <w:rFonts w:ascii="Times New Roman" w:eastAsia="Times New Roman"/>
                <w:color w:val="auto"/>
                <w:sz w:val="21"/>
                <w:highlight w:val="none"/>
              </w:rPr>
              <w:t xml:space="preserve">1371 </w:t>
            </w:r>
            <w:r>
              <w:rPr>
                <w:color w:val="auto"/>
                <w:sz w:val="21"/>
                <w:highlight w:val="none"/>
              </w:rPr>
              <w:t>水</w:t>
            </w:r>
          </w:p>
          <w:p w14:paraId="28940DF1">
            <w:pPr>
              <w:pStyle w:val="44"/>
              <w:spacing w:before="8" w:line="213" w:lineRule="auto"/>
              <w:ind w:left="107" w:right="98"/>
              <w:jc w:val="left"/>
              <w:rPr>
                <w:rFonts w:hint="eastAsia"/>
                <w:color w:val="auto"/>
                <w:sz w:val="21"/>
                <w:highlight w:val="none"/>
              </w:rPr>
            </w:pPr>
            <w:r>
              <w:rPr>
                <w:color w:val="auto"/>
                <w:sz w:val="21"/>
                <w:highlight w:val="none"/>
              </w:rPr>
              <w:t>果和坚果加工</w:t>
            </w:r>
          </w:p>
        </w:tc>
        <w:tc>
          <w:tcPr>
            <w:tcW w:w="715" w:type="dxa"/>
          </w:tcPr>
          <w:p w14:paraId="52E78E39">
            <w:pPr>
              <w:pStyle w:val="44"/>
              <w:spacing w:before="6"/>
              <w:jc w:val="left"/>
              <w:rPr>
                <w:rFonts w:hint="eastAsia" w:ascii="微软雅黑"/>
                <w:b/>
                <w:color w:val="auto"/>
                <w:sz w:val="21"/>
                <w:highlight w:val="none"/>
              </w:rPr>
            </w:pPr>
          </w:p>
          <w:p w14:paraId="1847F8FA">
            <w:pPr>
              <w:pStyle w:val="44"/>
              <w:spacing w:line="213" w:lineRule="auto"/>
              <w:ind w:left="40" w:right="30"/>
              <w:jc w:val="left"/>
              <w:rPr>
                <w:rFonts w:hint="eastAsia"/>
                <w:color w:val="auto"/>
                <w:sz w:val="21"/>
                <w:highlight w:val="none"/>
              </w:rPr>
            </w:pPr>
            <w:r>
              <w:rPr>
                <w:color w:val="auto"/>
                <w:sz w:val="21"/>
                <w:highlight w:val="none"/>
              </w:rPr>
              <w:t>规划发展产业</w:t>
            </w:r>
          </w:p>
        </w:tc>
        <w:tc>
          <w:tcPr>
            <w:tcW w:w="3831" w:type="dxa"/>
          </w:tcPr>
          <w:p w14:paraId="1C274140">
            <w:pPr>
              <w:pStyle w:val="44"/>
              <w:spacing w:before="15"/>
              <w:jc w:val="left"/>
              <w:rPr>
                <w:rFonts w:hint="eastAsia" w:ascii="微软雅黑"/>
                <w:b/>
                <w:color w:val="auto"/>
                <w:sz w:val="14"/>
                <w:highlight w:val="none"/>
                <w:lang w:eastAsia="zh-CN"/>
              </w:rPr>
            </w:pPr>
          </w:p>
          <w:p w14:paraId="28FEF118">
            <w:pPr>
              <w:pStyle w:val="44"/>
              <w:spacing w:line="213" w:lineRule="auto"/>
              <w:ind w:left="26" w:right="218"/>
              <w:jc w:val="left"/>
              <w:rPr>
                <w:rFonts w:hint="eastAsia"/>
                <w:color w:val="auto"/>
                <w:sz w:val="21"/>
                <w:highlight w:val="none"/>
                <w:lang w:eastAsia="zh-CN"/>
              </w:rPr>
            </w:pPr>
            <w:r>
              <w:rPr>
                <w:color w:val="auto"/>
                <w:sz w:val="21"/>
                <w:highlight w:val="none"/>
                <w:lang w:eastAsia="zh-CN"/>
              </w:rPr>
              <w:t>新建项目清洁生产水平不得低于清洁生产国内先进水平，并进入完成生态化改造的工业园区</w:t>
            </w:r>
          </w:p>
        </w:tc>
        <w:tc>
          <w:tcPr>
            <w:tcW w:w="1659" w:type="dxa"/>
          </w:tcPr>
          <w:p w14:paraId="5773EC13">
            <w:pPr>
              <w:pStyle w:val="44"/>
              <w:spacing w:before="6"/>
              <w:jc w:val="left"/>
              <w:rPr>
                <w:rFonts w:hint="eastAsia" w:ascii="微软雅黑"/>
                <w:b/>
                <w:color w:val="auto"/>
                <w:sz w:val="21"/>
                <w:highlight w:val="none"/>
                <w:lang w:eastAsia="zh-CN"/>
              </w:rPr>
            </w:pPr>
          </w:p>
          <w:p w14:paraId="15348440">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《指导目录》中允许类</w:t>
            </w:r>
          </w:p>
        </w:tc>
      </w:tr>
      <w:tr w14:paraId="79E40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28747CAD">
            <w:pPr>
              <w:pStyle w:val="44"/>
              <w:spacing w:before="6"/>
              <w:jc w:val="left"/>
              <w:rPr>
                <w:rFonts w:hint="eastAsia" w:ascii="微软雅黑"/>
                <w:b/>
                <w:color w:val="auto"/>
                <w:sz w:val="27"/>
                <w:highlight w:val="none"/>
                <w:lang w:eastAsia="zh-CN"/>
              </w:rPr>
            </w:pPr>
          </w:p>
          <w:p w14:paraId="17DFBF82">
            <w:pPr>
              <w:pStyle w:val="44"/>
              <w:spacing w:before="1"/>
              <w:ind w:left="102"/>
              <w:jc w:val="left"/>
              <w:rPr>
                <w:rFonts w:hint="eastAsia" w:ascii="Times New Roman"/>
                <w:color w:val="auto"/>
                <w:sz w:val="21"/>
                <w:highlight w:val="none"/>
              </w:rPr>
            </w:pPr>
            <w:r>
              <w:rPr>
                <w:rFonts w:ascii="Times New Roman"/>
                <w:color w:val="auto"/>
                <w:sz w:val="21"/>
                <w:highlight w:val="none"/>
              </w:rPr>
              <w:t>18</w:t>
            </w:r>
          </w:p>
        </w:tc>
        <w:tc>
          <w:tcPr>
            <w:tcW w:w="708" w:type="dxa"/>
            <w:vMerge w:val="continue"/>
            <w:tcBorders>
              <w:top w:val="nil"/>
            </w:tcBorders>
          </w:tcPr>
          <w:p w14:paraId="7DC29CB7">
            <w:pPr>
              <w:rPr>
                <w:rFonts w:hint="eastAsia"/>
                <w:color w:val="auto"/>
                <w:sz w:val="2"/>
                <w:szCs w:val="2"/>
                <w:highlight w:val="none"/>
              </w:rPr>
            </w:pPr>
          </w:p>
        </w:tc>
        <w:tc>
          <w:tcPr>
            <w:tcW w:w="708" w:type="dxa"/>
          </w:tcPr>
          <w:p w14:paraId="2E03050E">
            <w:pPr>
              <w:pStyle w:val="44"/>
              <w:spacing w:before="6"/>
              <w:jc w:val="left"/>
              <w:rPr>
                <w:rFonts w:hint="eastAsia" w:ascii="微软雅黑"/>
                <w:b/>
                <w:color w:val="auto"/>
                <w:sz w:val="21"/>
                <w:highlight w:val="none"/>
              </w:rPr>
            </w:pPr>
          </w:p>
          <w:p w14:paraId="44E5A534">
            <w:pPr>
              <w:pStyle w:val="44"/>
              <w:spacing w:line="213" w:lineRule="auto"/>
              <w:ind w:left="143" w:right="103" w:hanging="27"/>
              <w:jc w:val="left"/>
              <w:rPr>
                <w:rFonts w:hint="eastAsia"/>
                <w:color w:val="auto"/>
                <w:sz w:val="21"/>
                <w:highlight w:val="none"/>
              </w:rPr>
            </w:pPr>
            <w:r>
              <w:rPr>
                <w:rFonts w:ascii="Times New Roman" w:eastAsia="Times New Roman"/>
                <w:color w:val="auto"/>
                <w:sz w:val="21"/>
                <w:highlight w:val="none"/>
              </w:rPr>
              <w:t xml:space="preserve">17 </w:t>
            </w:r>
            <w:r>
              <w:rPr>
                <w:color w:val="auto"/>
                <w:sz w:val="21"/>
                <w:highlight w:val="none"/>
              </w:rPr>
              <w:t>纺织业</w:t>
            </w:r>
          </w:p>
        </w:tc>
        <w:tc>
          <w:tcPr>
            <w:tcW w:w="852" w:type="dxa"/>
          </w:tcPr>
          <w:p w14:paraId="38FFA1CB">
            <w:pPr>
              <w:pStyle w:val="44"/>
              <w:spacing w:before="153" w:line="213" w:lineRule="auto"/>
              <w:ind w:left="30" w:right="22"/>
              <w:rPr>
                <w:rFonts w:hint="eastAsia"/>
                <w:color w:val="auto"/>
                <w:sz w:val="21"/>
                <w:highlight w:val="none"/>
                <w:lang w:eastAsia="zh-CN"/>
              </w:rPr>
            </w:pPr>
            <w:r>
              <w:rPr>
                <w:rFonts w:ascii="Times New Roman" w:eastAsia="Times New Roman"/>
                <w:color w:val="auto"/>
                <w:sz w:val="21"/>
                <w:highlight w:val="none"/>
                <w:lang w:eastAsia="zh-CN"/>
              </w:rPr>
              <w:t xml:space="preserve">174 </w:t>
            </w:r>
            <w:r>
              <w:rPr>
                <w:color w:val="auto"/>
                <w:sz w:val="21"/>
                <w:highlight w:val="none"/>
                <w:lang w:eastAsia="zh-CN"/>
              </w:rPr>
              <w:t>丝绢</w:t>
            </w:r>
            <w:r>
              <w:rPr>
                <w:rFonts w:hint="eastAsia"/>
                <w:color w:val="auto"/>
                <w:sz w:val="21"/>
                <w:highlight w:val="none"/>
                <w:lang w:eastAsia="zh-CN"/>
              </w:rPr>
              <w:t>纺织</w:t>
            </w:r>
            <w:r>
              <w:rPr>
                <w:color w:val="auto"/>
                <w:sz w:val="21"/>
                <w:highlight w:val="none"/>
                <w:lang w:eastAsia="zh-CN"/>
              </w:rPr>
              <w:t>及印染精加工</w:t>
            </w:r>
          </w:p>
        </w:tc>
        <w:tc>
          <w:tcPr>
            <w:tcW w:w="850" w:type="dxa"/>
          </w:tcPr>
          <w:p w14:paraId="41EEC3C9">
            <w:pPr>
              <w:pStyle w:val="44"/>
              <w:spacing w:before="1"/>
              <w:jc w:val="left"/>
              <w:rPr>
                <w:rFonts w:hint="eastAsia" w:ascii="微软雅黑"/>
                <w:b/>
                <w:color w:val="auto"/>
                <w:sz w:val="20"/>
                <w:highlight w:val="none"/>
                <w:lang w:eastAsia="zh-CN"/>
              </w:rPr>
            </w:pPr>
          </w:p>
          <w:p w14:paraId="7FD9C417">
            <w:pPr>
              <w:pStyle w:val="44"/>
              <w:spacing w:before="1" w:line="255" w:lineRule="exact"/>
              <w:ind w:left="83"/>
              <w:jc w:val="left"/>
              <w:rPr>
                <w:rFonts w:hint="eastAsia"/>
                <w:color w:val="auto"/>
                <w:sz w:val="21"/>
                <w:highlight w:val="none"/>
              </w:rPr>
            </w:pPr>
            <w:r>
              <w:rPr>
                <w:rFonts w:ascii="Times New Roman" w:eastAsia="Times New Roman"/>
                <w:color w:val="auto"/>
                <w:sz w:val="21"/>
                <w:highlight w:val="none"/>
              </w:rPr>
              <w:t>1741</w:t>
            </w:r>
            <w:r>
              <w:rPr>
                <w:rFonts w:ascii="Times New Roman" w:eastAsia="Times New Roman"/>
                <w:color w:val="auto"/>
                <w:spacing w:val="1"/>
                <w:sz w:val="21"/>
                <w:highlight w:val="none"/>
              </w:rPr>
              <w:t xml:space="preserve"> </w:t>
            </w:r>
            <w:r>
              <w:rPr>
                <w:color w:val="auto"/>
                <w:sz w:val="21"/>
                <w:highlight w:val="none"/>
              </w:rPr>
              <w:t>缫</w:t>
            </w:r>
          </w:p>
          <w:p w14:paraId="6044B0E5">
            <w:pPr>
              <w:pStyle w:val="44"/>
              <w:spacing w:line="255" w:lineRule="exact"/>
              <w:ind w:left="107"/>
              <w:jc w:val="left"/>
              <w:rPr>
                <w:rFonts w:hint="eastAsia"/>
                <w:color w:val="auto"/>
                <w:sz w:val="21"/>
                <w:highlight w:val="none"/>
              </w:rPr>
            </w:pPr>
            <w:r>
              <w:rPr>
                <w:color w:val="auto"/>
                <w:sz w:val="21"/>
                <w:highlight w:val="none"/>
              </w:rPr>
              <w:t>丝加工</w:t>
            </w:r>
          </w:p>
        </w:tc>
        <w:tc>
          <w:tcPr>
            <w:tcW w:w="715" w:type="dxa"/>
          </w:tcPr>
          <w:p w14:paraId="46433BD9">
            <w:pPr>
              <w:pStyle w:val="44"/>
              <w:spacing w:before="6"/>
              <w:jc w:val="left"/>
              <w:rPr>
                <w:rFonts w:hint="eastAsia" w:ascii="微软雅黑"/>
                <w:b/>
                <w:color w:val="auto"/>
                <w:sz w:val="21"/>
                <w:highlight w:val="none"/>
              </w:rPr>
            </w:pPr>
          </w:p>
          <w:p w14:paraId="1C5BDAF0">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0AEADA45">
            <w:pPr>
              <w:pStyle w:val="44"/>
              <w:numPr>
                <w:ilvl w:val="0"/>
                <w:numId w:val="9"/>
              </w:numPr>
              <w:tabs>
                <w:tab w:val="left" w:pos="186"/>
              </w:tabs>
              <w:spacing w:before="33" w:line="213" w:lineRule="auto"/>
              <w:ind w:right="42" w:firstLine="0"/>
              <w:jc w:val="left"/>
              <w:rPr>
                <w:rFonts w:hint="eastAsia"/>
                <w:color w:val="auto"/>
                <w:sz w:val="21"/>
                <w:highlight w:val="none"/>
                <w:lang w:eastAsia="zh-CN"/>
              </w:rPr>
            </w:pPr>
            <w:r>
              <w:rPr>
                <w:color w:val="auto"/>
                <w:spacing w:val="-6"/>
                <w:sz w:val="21"/>
                <w:highlight w:val="none"/>
                <w:lang w:eastAsia="zh-CN"/>
              </w:rPr>
              <w:t xml:space="preserve">禁止投资工业用水重复利用率低于 </w:t>
            </w:r>
            <w:r>
              <w:rPr>
                <w:rFonts w:ascii="Times New Roman" w:eastAsia="Times New Roman"/>
                <w:color w:val="auto"/>
                <w:spacing w:val="-4"/>
                <w:sz w:val="21"/>
                <w:highlight w:val="none"/>
                <w:lang w:eastAsia="zh-CN"/>
              </w:rPr>
              <w:t xml:space="preserve">95% </w:t>
            </w:r>
            <w:r>
              <w:rPr>
                <w:color w:val="auto"/>
                <w:spacing w:val="-3"/>
                <w:sz w:val="21"/>
                <w:highlight w:val="none"/>
                <w:lang w:eastAsia="zh-CN"/>
              </w:rPr>
              <w:t>的缫丝加工业。新建项目一律进入现有完成生态化改造的工业园区建设；</w:t>
            </w:r>
          </w:p>
          <w:p w14:paraId="6EC43B91">
            <w:pPr>
              <w:pStyle w:val="44"/>
              <w:numPr>
                <w:ilvl w:val="0"/>
                <w:numId w:val="9"/>
              </w:numPr>
              <w:tabs>
                <w:tab w:val="left" w:pos="186"/>
              </w:tabs>
              <w:spacing w:line="234" w:lineRule="exact"/>
              <w:ind w:left="185"/>
              <w:jc w:val="left"/>
              <w:rPr>
                <w:rFonts w:hint="eastAsia"/>
                <w:color w:val="auto"/>
                <w:sz w:val="21"/>
                <w:highlight w:val="none"/>
                <w:lang w:eastAsia="zh-CN"/>
              </w:rPr>
            </w:pPr>
            <w:r>
              <w:rPr>
                <w:color w:val="auto"/>
                <w:spacing w:val="-3"/>
                <w:sz w:val="21"/>
                <w:highlight w:val="none"/>
                <w:lang w:eastAsia="zh-CN"/>
              </w:rPr>
              <w:t>清洁生产工艺必须达到国内先进水平；</w:t>
            </w:r>
          </w:p>
          <w:p w14:paraId="792E13D9">
            <w:pPr>
              <w:pStyle w:val="44"/>
              <w:numPr>
                <w:ilvl w:val="0"/>
                <w:numId w:val="9"/>
              </w:numPr>
              <w:tabs>
                <w:tab w:val="left" w:pos="186"/>
              </w:tabs>
              <w:spacing w:line="252" w:lineRule="exact"/>
              <w:ind w:left="185"/>
              <w:jc w:val="left"/>
              <w:rPr>
                <w:rFonts w:hint="eastAsia"/>
                <w:color w:val="auto"/>
                <w:sz w:val="21"/>
                <w:highlight w:val="none"/>
                <w:lang w:eastAsia="zh-CN"/>
              </w:rPr>
            </w:pPr>
            <w:r>
              <w:rPr>
                <w:color w:val="auto"/>
                <w:spacing w:val="-3"/>
                <w:sz w:val="21"/>
                <w:highlight w:val="none"/>
                <w:lang w:eastAsia="zh-CN"/>
              </w:rPr>
              <w:t>民族传统工艺项目不在限制范围</w:t>
            </w:r>
          </w:p>
        </w:tc>
        <w:tc>
          <w:tcPr>
            <w:tcW w:w="1659" w:type="dxa"/>
          </w:tcPr>
          <w:p w14:paraId="77BC5481">
            <w:pPr>
              <w:pStyle w:val="44"/>
              <w:spacing w:before="6"/>
              <w:jc w:val="left"/>
              <w:rPr>
                <w:rFonts w:hint="eastAsia" w:ascii="微软雅黑"/>
                <w:b/>
                <w:color w:val="auto"/>
                <w:sz w:val="21"/>
                <w:highlight w:val="none"/>
                <w:lang w:eastAsia="zh-CN"/>
              </w:rPr>
            </w:pPr>
          </w:p>
          <w:p w14:paraId="0F02CFA1">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78C58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416" w:type="dxa"/>
          </w:tcPr>
          <w:p w14:paraId="3B5C49DF">
            <w:pPr>
              <w:pStyle w:val="44"/>
              <w:spacing w:before="15"/>
              <w:jc w:val="left"/>
              <w:rPr>
                <w:rFonts w:hint="eastAsia" w:ascii="微软雅黑"/>
                <w:b/>
                <w:color w:val="auto"/>
                <w:sz w:val="20"/>
                <w:highlight w:val="none"/>
                <w:lang w:eastAsia="zh-CN"/>
              </w:rPr>
            </w:pPr>
          </w:p>
          <w:p w14:paraId="5E8AB146">
            <w:pPr>
              <w:pStyle w:val="44"/>
              <w:spacing w:before="1"/>
              <w:ind w:left="102"/>
              <w:jc w:val="left"/>
              <w:rPr>
                <w:rFonts w:hint="eastAsia" w:ascii="Times New Roman"/>
                <w:color w:val="auto"/>
                <w:sz w:val="21"/>
                <w:highlight w:val="none"/>
              </w:rPr>
            </w:pPr>
            <w:r>
              <w:rPr>
                <w:rFonts w:ascii="Times New Roman"/>
                <w:color w:val="auto"/>
                <w:sz w:val="21"/>
                <w:highlight w:val="none"/>
              </w:rPr>
              <w:t>19</w:t>
            </w:r>
          </w:p>
        </w:tc>
        <w:tc>
          <w:tcPr>
            <w:tcW w:w="708" w:type="dxa"/>
            <w:vMerge w:val="continue"/>
            <w:tcBorders>
              <w:top w:val="nil"/>
            </w:tcBorders>
          </w:tcPr>
          <w:p w14:paraId="09BFAC4A">
            <w:pPr>
              <w:rPr>
                <w:rFonts w:hint="eastAsia"/>
                <w:color w:val="auto"/>
                <w:sz w:val="2"/>
                <w:szCs w:val="2"/>
                <w:highlight w:val="none"/>
              </w:rPr>
            </w:pPr>
          </w:p>
        </w:tc>
        <w:tc>
          <w:tcPr>
            <w:tcW w:w="708" w:type="dxa"/>
          </w:tcPr>
          <w:p w14:paraId="19414EE7">
            <w:pPr>
              <w:pStyle w:val="44"/>
              <w:spacing w:before="153" w:line="213" w:lineRule="auto"/>
              <w:ind w:left="37" w:right="24"/>
              <w:rPr>
                <w:rFonts w:hint="eastAsia"/>
                <w:color w:val="auto"/>
                <w:sz w:val="21"/>
                <w:highlight w:val="none"/>
              </w:rPr>
            </w:pPr>
            <w:r>
              <w:rPr>
                <w:rFonts w:ascii="Times New Roman" w:eastAsia="Times New Roman"/>
                <w:color w:val="auto"/>
                <w:sz w:val="21"/>
                <w:highlight w:val="none"/>
              </w:rPr>
              <w:t xml:space="preserve">21 </w:t>
            </w:r>
            <w:r>
              <w:rPr>
                <w:color w:val="auto"/>
                <w:sz w:val="21"/>
                <w:highlight w:val="none"/>
              </w:rPr>
              <w:t>家具制造业</w:t>
            </w:r>
          </w:p>
        </w:tc>
        <w:tc>
          <w:tcPr>
            <w:tcW w:w="852" w:type="dxa"/>
          </w:tcPr>
          <w:p w14:paraId="797CBA59">
            <w:pPr>
              <w:pStyle w:val="44"/>
              <w:spacing w:before="153" w:line="213" w:lineRule="auto"/>
              <w:ind w:left="23" w:right="10"/>
              <w:rPr>
                <w:rFonts w:hint="eastAsia"/>
                <w:color w:val="auto"/>
                <w:sz w:val="21"/>
                <w:highlight w:val="none"/>
              </w:rPr>
            </w:pPr>
            <w:r>
              <w:rPr>
                <w:rFonts w:ascii="Times New Roman" w:eastAsia="Times New Roman"/>
                <w:color w:val="auto"/>
                <w:sz w:val="21"/>
                <w:highlight w:val="none"/>
              </w:rPr>
              <w:t xml:space="preserve">211 </w:t>
            </w:r>
            <w:r>
              <w:rPr>
                <w:rFonts w:hint="eastAsia" w:ascii="Times New Roman" w:eastAsia="宋体"/>
                <w:color w:val="auto"/>
                <w:sz w:val="21"/>
                <w:highlight w:val="none"/>
                <w:lang w:eastAsia="zh-CN"/>
              </w:rPr>
              <w:t>木制家具</w:t>
            </w:r>
            <w:r>
              <w:rPr>
                <w:color w:val="auto"/>
                <w:sz w:val="21"/>
                <w:highlight w:val="none"/>
              </w:rPr>
              <w:t>制造</w:t>
            </w:r>
          </w:p>
        </w:tc>
        <w:tc>
          <w:tcPr>
            <w:tcW w:w="850" w:type="dxa"/>
          </w:tcPr>
          <w:p w14:paraId="4105DEA5">
            <w:pPr>
              <w:pStyle w:val="44"/>
              <w:spacing w:before="130" w:line="255" w:lineRule="exact"/>
              <w:ind w:left="62" w:right="53"/>
              <w:rPr>
                <w:rFonts w:hint="eastAsia"/>
                <w:color w:val="auto"/>
                <w:sz w:val="21"/>
                <w:highlight w:val="none"/>
              </w:rPr>
            </w:pPr>
            <w:r>
              <w:rPr>
                <w:rFonts w:ascii="Times New Roman" w:eastAsia="Times New Roman"/>
                <w:color w:val="auto"/>
                <w:sz w:val="21"/>
                <w:highlight w:val="none"/>
              </w:rPr>
              <w:t xml:space="preserve">2110 </w:t>
            </w:r>
            <w:r>
              <w:rPr>
                <w:color w:val="auto"/>
                <w:sz w:val="21"/>
                <w:highlight w:val="none"/>
              </w:rPr>
              <w:t>木</w:t>
            </w:r>
          </w:p>
          <w:p w14:paraId="193B3297">
            <w:pPr>
              <w:pStyle w:val="44"/>
              <w:spacing w:before="9" w:line="213" w:lineRule="auto"/>
              <w:ind w:left="107" w:right="98"/>
              <w:rPr>
                <w:rFonts w:hint="eastAsia"/>
                <w:color w:val="auto"/>
                <w:sz w:val="21"/>
                <w:highlight w:val="none"/>
              </w:rPr>
            </w:pPr>
            <w:r>
              <w:rPr>
                <w:color w:val="auto"/>
                <w:sz w:val="21"/>
                <w:highlight w:val="none"/>
              </w:rPr>
              <w:t>质家具制造</w:t>
            </w:r>
          </w:p>
        </w:tc>
        <w:tc>
          <w:tcPr>
            <w:tcW w:w="715" w:type="dxa"/>
          </w:tcPr>
          <w:p w14:paraId="0F108BBF">
            <w:pPr>
              <w:pStyle w:val="44"/>
              <w:spacing w:before="15"/>
              <w:jc w:val="left"/>
              <w:rPr>
                <w:rFonts w:hint="eastAsia" w:ascii="微软雅黑"/>
                <w:b/>
                <w:color w:val="auto"/>
                <w:sz w:val="14"/>
                <w:highlight w:val="none"/>
              </w:rPr>
            </w:pPr>
          </w:p>
          <w:p w14:paraId="08CDDD68">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5CB3890A">
            <w:pPr>
              <w:pStyle w:val="44"/>
              <w:numPr>
                <w:ilvl w:val="0"/>
                <w:numId w:val="10"/>
              </w:numPr>
              <w:tabs>
                <w:tab w:val="left" w:pos="186"/>
              </w:tabs>
              <w:spacing w:before="33" w:line="213" w:lineRule="auto"/>
              <w:ind w:right="60" w:firstLine="0"/>
              <w:jc w:val="left"/>
              <w:rPr>
                <w:rFonts w:hint="eastAsia"/>
                <w:color w:val="auto"/>
                <w:sz w:val="21"/>
                <w:highlight w:val="none"/>
                <w:lang w:eastAsia="zh-CN"/>
              </w:rPr>
            </w:pPr>
            <w:r>
              <w:rPr>
                <w:color w:val="auto"/>
                <w:spacing w:val="-4"/>
                <w:sz w:val="21"/>
                <w:highlight w:val="none"/>
                <w:lang w:eastAsia="zh-CN"/>
              </w:rPr>
              <w:t>禁止新建以优质林木为原料的一次性木</w:t>
            </w:r>
            <w:r>
              <w:rPr>
                <w:color w:val="auto"/>
                <w:spacing w:val="-3"/>
                <w:sz w:val="21"/>
                <w:highlight w:val="none"/>
                <w:lang w:eastAsia="zh-CN"/>
              </w:rPr>
              <w:t>制品与木质包装的生产项目；</w:t>
            </w:r>
          </w:p>
          <w:p w14:paraId="6E9D2F8E">
            <w:pPr>
              <w:pStyle w:val="44"/>
              <w:numPr>
                <w:ilvl w:val="0"/>
                <w:numId w:val="10"/>
              </w:numPr>
              <w:tabs>
                <w:tab w:val="left" w:pos="186"/>
              </w:tabs>
              <w:spacing w:before="1" w:line="213" w:lineRule="auto"/>
              <w:ind w:right="60" w:firstLine="0"/>
              <w:jc w:val="left"/>
              <w:rPr>
                <w:rFonts w:hint="eastAsia"/>
                <w:color w:val="auto"/>
                <w:sz w:val="21"/>
                <w:highlight w:val="none"/>
                <w:lang w:eastAsia="zh-CN"/>
              </w:rPr>
            </w:pPr>
            <w:r>
              <w:rPr>
                <w:color w:val="auto"/>
                <w:spacing w:val="-4"/>
                <w:sz w:val="21"/>
                <w:highlight w:val="none"/>
                <w:lang w:eastAsia="zh-CN"/>
              </w:rPr>
              <w:t>新建项目清洁生产水平不得低于国内先</w:t>
            </w:r>
            <w:r>
              <w:rPr>
                <w:color w:val="auto"/>
                <w:sz w:val="21"/>
                <w:highlight w:val="none"/>
                <w:lang w:eastAsia="zh-CN"/>
              </w:rPr>
              <w:t>进水平</w:t>
            </w:r>
          </w:p>
        </w:tc>
        <w:tc>
          <w:tcPr>
            <w:tcW w:w="1659" w:type="dxa"/>
          </w:tcPr>
          <w:p w14:paraId="1F363C25">
            <w:pPr>
              <w:pStyle w:val="44"/>
              <w:spacing w:before="15"/>
              <w:jc w:val="left"/>
              <w:rPr>
                <w:rFonts w:hint="eastAsia" w:ascii="微软雅黑"/>
                <w:b/>
                <w:color w:val="auto"/>
                <w:sz w:val="14"/>
                <w:highlight w:val="none"/>
                <w:lang w:eastAsia="zh-CN"/>
              </w:rPr>
            </w:pPr>
          </w:p>
          <w:p w14:paraId="7EAE1E18">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0451F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416" w:type="dxa"/>
          </w:tcPr>
          <w:p w14:paraId="4D49828B">
            <w:pPr>
              <w:pStyle w:val="44"/>
              <w:jc w:val="left"/>
              <w:rPr>
                <w:rFonts w:hint="eastAsia" w:ascii="微软雅黑"/>
                <w:b/>
                <w:color w:val="auto"/>
                <w:highlight w:val="none"/>
                <w:lang w:eastAsia="zh-CN"/>
              </w:rPr>
            </w:pPr>
          </w:p>
          <w:p w14:paraId="1821FDEB">
            <w:pPr>
              <w:pStyle w:val="44"/>
              <w:spacing w:before="16"/>
              <w:jc w:val="left"/>
              <w:rPr>
                <w:rFonts w:hint="eastAsia" w:ascii="微软雅黑"/>
                <w:b/>
                <w:color w:val="auto"/>
                <w:sz w:val="11"/>
                <w:highlight w:val="none"/>
                <w:lang w:eastAsia="zh-CN"/>
              </w:rPr>
            </w:pPr>
          </w:p>
          <w:p w14:paraId="6B16D7AA">
            <w:pPr>
              <w:pStyle w:val="44"/>
              <w:ind w:left="102"/>
              <w:jc w:val="left"/>
              <w:rPr>
                <w:rFonts w:hint="eastAsia" w:ascii="Times New Roman"/>
                <w:color w:val="auto"/>
                <w:sz w:val="21"/>
                <w:highlight w:val="none"/>
              </w:rPr>
            </w:pPr>
            <w:r>
              <w:rPr>
                <w:rFonts w:ascii="Times New Roman"/>
                <w:color w:val="auto"/>
                <w:sz w:val="21"/>
                <w:highlight w:val="none"/>
              </w:rPr>
              <w:t>20</w:t>
            </w:r>
          </w:p>
        </w:tc>
        <w:tc>
          <w:tcPr>
            <w:tcW w:w="708" w:type="dxa"/>
            <w:vMerge w:val="continue"/>
            <w:tcBorders>
              <w:top w:val="nil"/>
            </w:tcBorders>
          </w:tcPr>
          <w:p w14:paraId="665C96E8">
            <w:pPr>
              <w:rPr>
                <w:rFonts w:hint="eastAsia"/>
                <w:color w:val="auto"/>
                <w:sz w:val="2"/>
                <w:szCs w:val="2"/>
                <w:highlight w:val="none"/>
              </w:rPr>
            </w:pPr>
          </w:p>
        </w:tc>
        <w:tc>
          <w:tcPr>
            <w:tcW w:w="708" w:type="dxa"/>
          </w:tcPr>
          <w:p w14:paraId="09162FC1">
            <w:pPr>
              <w:pStyle w:val="44"/>
              <w:spacing w:before="153" w:line="213" w:lineRule="auto"/>
              <w:ind w:left="37" w:right="24"/>
              <w:rPr>
                <w:rFonts w:hint="eastAsia"/>
                <w:color w:val="auto"/>
                <w:sz w:val="21"/>
                <w:highlight w:val="none"/>
                <w:lang w:eastAsia="zh-CN"/>
              </w:rPr>
            </w:pPr>
            <w:r>
              <w:rPr>
                <w:rFonts w:ascii="Times New Roman" w:eastAsia="Times New Roman"/>
                <w:color w:val="auto"/>
                <w:sz w:val="21"/>
                <w:highlight w:val="none"/>
                <w:lang w:eastAsia="zh-CN"/>
              </w:rPr>
              <w:t xml:space="preserve">26 </w:t>
            </w:r>
            <w:r>
              <w:rPr>
                <w:color w:val="auto"/>
                <w:sz w:val="21"/>
                <w:highlight w:val="none"/>
                <w:lang w:eastAsia="zh-CN"/>
              </w:rPr>
              <w:t>化学原料和化学制品制造业</w:t>
            </w:r>
          </w:p>
        </w:tc>
        <w:tc>
          <w:tcPr>
            <w:tcW w:w="852" w:type="dxa"/>
          </w:tcPr>
          <w:p w14:paraId="3332C10D">
            <w:pPr>
              <w:pStyle w:val="44"/>
              <w:spacing w:before="16"/>
              <w:jc w:val="left"/>
              <w:rPr>
                <w:rFonts w:hint="eastAsia" w:ascii="微软雅黑"/>
                <w:b/>
                <w:color w:val="auto"/>
                <w:sz w:val="27"/>
                <w:highlight w:val="none"/>
                <w:lang w:eastAsia="zh-CN"/>
              </w:rPr>
            </w:pPr>
          </w:p>
          <w:p w14:paraId="3D24E391">
            <w:pPr>
              <w:pStyle w:val="44"/>
              <w:spacing w:line="213" w:lineRule="auto"/>
              <w:ind w:left="215" w:right="22" w:hanging="185"/>
              <w:jc w:val="left"/>
              <w:rPr>
                <w:rFonts w:hint="eastAsia"/>
                <w:color w:val="auto"/>
                <w:sz w:val="21"/>
                <w:highlight w:val="none"/>
              </w:rPr>
            </w:pPr>
            <w:r>
              <w:rPr>
                <w:rFonts w:ascii="Times New Roman" w:eastAsia="Times New Roman"/>
                <w:color w:val="auto"/>
                <w:sz w:val="21"/>
                <w:highlight w:val="none"/>
              </w:rPr>
              <w:t xml:space="preserve">263 </w:t>
            </w:r>
            <w:r>
              <w:rPr>
                <w:color w:val="auto"/>
                <w:sz w:val="21"/>
                <w:highlight w:val="none"/>
              </w:rPr>
              <w:t>农药制造</w:t>
            </w:r>
          </w:p>
        </w:tc>
        <w:tc>
          <w:tcPr>
            <w:tcW w:w="850" w:type="dxa"/>
          </w:tcPr>
          <w:p w14:paraId="4B3B1554">
            <w:pPr>
              <w:pStyle w:val="44"/>
              <w:spacing w:before="1"/>
              <w:jc w:val="left"/>
              <w:rPr>
                <w:rFonts w:hint="eastAsia" w:ascii="微软雅黑"/>
                <w:b/>
                <w:color w:val="auto"/>
                <w:sz w:val="20"/>
                <w:highlight w:val="none"/>
              </w:rPr>
            </w:pPr>
          </w:p>
          <w:p w14:paraId="34AE27AF">
            <w:pPr>
              <w:pStyle w:val="44"/>
              <w:spacing w:before="1" w:line="255" w:lineRule="exact"/>
              <w:ind w:left="63" w:right="52"/>
              <w:rPr>
                <w:rFonts w:hint="eastAsia"/>
                <w:color w:val="auto"/>
                <w:sz w:val="21"/>
                <w:highlight w:val="none"/>
              </w:rPr>
            </w:pPr>
            <w:r>
              <w:rPr>
                <w:rFonts w:ascii="Times New Roman" w:eastAsia="Times New Roman"/>
                <w:color w:val="auto"/>
                <w:sz w:val="21"/>
                <w:highlight w:val="none"/>
              </w:rPr>
              <w:t xml:space="preserve">2631 </w:t>
            </w:r>
            <w:r>
              <w:rPr>
                <w:color w:val="auto"/>
                <w:sz w:val="21"/>
                <w:highlight w:val="none"/>
              </w:rPr>
              <w:t>化</w:t>
            </w:r>
          </w:p>
          <w:p w14:paraId="18353B32">
            <w:pPr>
              <w:pStyle w:val="44"/>
              <w:spacing w:before="8" w:line="213" w:lineRule="auto"/>
              <w:ind w:left="107" w:right="98"/>
              <w:rPr>
                <w:rFonts w:hint="eastAsia"/>
                <w:color w:val="auto"/>
                <w:sz w:val="21"/>
                <w:highlight w:val="none"/>
              </w:rPr>
            </w:pPr>
            <w:r>
              <w:rPr>
                <w:color w:val="auto"/>
                <w:sz w:val="21"/>
                <w:highlight w:val="none"/>
              </w:rPr>
              <w:t>学农药制造</w:t>
            </w:r>
          </w:p>
        </w:tc>
        <w:tc>
          <w:tcPr>
            <w:tcW w:w="715" w:type="dxa"/>
          </w:tcPr>
          <w:p w14:paraId="4D2C9FBD">
            <w:pPr>
              <w:pStyle w:val="44"/>
              <w:spacing w:before="16"/>
              <w:jc w:val="left"/>
              <w:rPr>
                <w:rFonts w:hint="eastAsia" w:ascii="微软雅黑"/>
                <w:b/>
                <w:color w:val="auto"/>
                <w:sz w:val="27"/>
                <w:highlight w:val="none"/>
              </w:rPr>
            </w:pPr>
          </w:p>
          <w:p w14:paraId="43F906CD">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4386CAF4">
            <w:pPr>
              <w:pStyle w:val="44"/>
              <w:spacing w:before="33" w:line="213" w:lineRule="auto"/>
              <w:ind w:left="26" w:right="218"/>
              <w:jc w:val="left"/>
              <w:rPr>
                <w:rFonts w:hint="eastAsia"/>
                <w:color w:val="auto"/>
                <w:sz w:val="21"/>
                <w:highlight w:val="none"/>
                <w:lang w:eastAsia="zh-CN"/>
              </w:rPr>
            </w:pPr>
            <w:r>
              <w:rPr>
                <w:color w:val="auto"/>
                <w:spacing w:val="-3"/>
                <w:sz w:val="21"/>
                <w:highlight w:val="none"/>
                <w:lang w:eastAsia="zh-CN"/>
              </w:rPr>
              <w:t>限制发展高毒农药原药（</w:t>
            </w:r>
            <w:r>
              <w:rPr>
                <w:color w:val="auto"/>
                <w:spacing w:val="-4"/>
                <w:sz w:val="21"/>
                <w:highlight w:val="none"/>
                <w:lang w:eastAsia="zh-CN"/>
              </w:rPr>
              <w:t>甲胺磷、对硫磷、甲基对硫磷、久效磷、氧化乐果、水胺硫磷、甲基异柳磷、甲拌磷、甲基</w:t>
            </w:r>
            <w:r>
              <w:rPr>
                <w:color w:val="auto"/>
                <w:spacing w:val="-3"/>
                <w:sz w:val="21"/>
                <w:highlight w:val="none"/>
                <w:lang w:eastAsia="zh-CN"/>
              </w:rPr>
              <w:t>硫环磷、乙基硫环磷、特丁磷、杀扑 磷、溴甲烷、灭多威、涕灭威、克百 威、磷化锌、敌鼠钠、敌鼠酮、杀鼠</w:t>
            </w:r>
          </w:p>
        </w:tc>
        <w:tc>
          <w:tcPr>
            <w:tcW w:w="1659" w:type="dxa"/>
          </w:tcPr>
          <w:p w14:paraId="2524BC5F">
            <w:pPr>
              <w:pStyle w:val="44"/>
              <w:spacing w:before="16"/>
              <w:jc w:val="left"/>
              <w:rPr>
                <w:rFonts w:hint="eastAsia" w:ascii="微软雅黑"/>
                <w:b/>
                <w:color w:val="auto"/>
                <w:sz w:val="27"/>
                <w:highlight w:val="none"/>
                <w:lang w:eastAsia="zh-CN"/>
              </w:rPr>
            </w:pPr>
          </w:p>
          <w:p w14:paraId="0D5B582A">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79B62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416" w:type="dxa"/>
          </w:tcPr>
          <w:p w14:paraId="056FDBC9">
            <w:pPr>
              <w:pStyle w:val="44"/>
              <w:spacing w:before="12"/>
              <w:jc w:val="left"/>
              <w:rPr>
                <w:rFonts w:hint="eastAsia" w:ascii="微软雅黑"/>
                <w:b/>
                <w:color w:val="auto"/>
                <w:sz w:val="15"/>
                <w:highlight w:val="none"/>
                <w:lang w:eastAsia="zh-CN"/>
              </w:rPr>
            </w:pPr>
          </w:p>
          <w:p w14:paraId="2F4F65FE">
            <w:pPr>
              <w:pStyle w:val="44"/>
              <w:spacing w:line="148" w:lineRule="auto"/>
              <w:ind w:left="102" w:right="89"/>
              <w:jc w:val="left"/>
              <w:rPr>
                <w:rFonts w:hint="eastAsia" w:ascii="微软雅黑" w:eastAsia="微软雅黑"/>
                <w:b/>
                <w:color w:val="auto"/>
                <w:sz w:val="21"/>
                <w:highlight w:val="none"/>
              </w:rPr>
            </w:pPr>
            <w:r>
              <w:rPr>
                <w:rFonts w:hint="eastAsia" w:ascii="微软雅黑" w:eastAsia="微软雅黑"/>
                <w:b/>
                <w:color w:val="auto"/>
                <w:sz w:val="21"/>
                <w:highlight w:val="none"/>
              </w:rPr>
              <w:t>序号</w:t>
            </w:r>
          </w:p>
        </w:tc>
        <w:tc>
          <w:tcPr>
            <w:tcW w:w="708" w:type="dxa"/>
          </w:tcPr>
          <w:p w14:paraId="14088F0D">
            <w:pPr>
              <w:pStyle w:val="44"/>
              <w:spacing w:line="257" w:lineRule="exact"/>
              <w:ind w:left="141"/>
              <w:jc w:val="left"/>
              <w:rPr>
                <w:rFonts w:hint="eastAsia" w:ascii="微软雅黑" w:eastAsia="微软雅黑"/>
                <w:b/>
                <w:color w:val="auto"/>
                <w:sz w:val="21"/>
                <w:highlight w:val="none"/>
              </w:rPr>
            </w:pPr>
            <w:r>
              <w:rPr>
                <w:rFonts w:hint="eastAsia" w:ascii="微软雅黑" w:eastAsia="微软雅黑"/>
                <w:b/>
                <w:color w:val="auto"/>
                <w:sz w:val="21"/>
                <w:highlight w:val="none"/>
              </w:rPr>
              <w:t>门类</w:t>
            </w:r>
          </w:p>
          <w:p w14:paraId="2764AE08">
            <w:pPr>
              <w:pStyle w:val="44"/>
              <w:spacing w:before="32" w:line="148" w:lineRule="auto"/>
              <w:ind w:left="141" w:right="26"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9"/>
                <w:sz w:val="21"/>
                <w:highlight w:val="none"/>
              </w:rPr>
              <w:t>代码</w:t>
            </w:r>
            <w:r>
              <w:rPr>
                <w:rFonts w:hint="eastAsia" w:ascii="微软雅黑" w:eastAsia="微软雅黑"/>
                <w:b/>
                <w:color w:val="auto"/>
                <w:sz w:val="21"/>
                <w:highlight w:val="none"/>
              </w:rPr>
              <w:t>及名</w:t>
            </w:r>
          </w:p>
          <w:p w14:paraId="5C75273F">
            <w:pPr>
              <w:pStyle w:val="44"/>
              <w:spacing w:line="226" w:lineRule="exact"/>
              <w:ind w:left="141"/>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708" w:type="dxa"/>
          </w:tcPr>
          <w:p w14:paraId="156F7A86">
            <w:pPr>
              <w:pStyle w:val="44"/>
              <w:spacing w:line="257" w:lineRule="exact"/>
              <w:ind w:left="143"/>
              <w:jc w:val="left"/>
              <w:rPr>
                <w:rFonts w:hint="eastAsia" w:ascii="微软雅黑" w:eastAsia="微软雅黑"/>
                <w:b/>
                <w:color w:val="auto"/>
                <w:sz w:val="21"/>
                <w:highlight w:val="none"/>
              </w:rPr>
            </w:pPr>
            <w:r>
              <w:rPr>
                <w:rFonts w:hint="eastAsia" w:ascii="微软雅黑" w:eastAsia="微软雅黑"/>
                <w:b/>
                <w:color w:val="auto"/>
                <w:sz w:val="21"/>
                <w:highlight w:val="none"/>
              </w:rPr>
              <w:t>大类</w:t>
            </w:r>
          </w:p>
          <w:p w14:paraId="70BC29F6">
            <w:pPr>
              <w:pStyle w:val="44"/>
              <w:spacing w:before="32" w:line="148" w:lineRule="auto"/>
              <w:ind w:left="143" w:right="24"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9"/>
                <w:sz w:val="21"/>
                <w:highlight w:val="none"/>
              </w:rPr>
              <w:t>代码</w:t>
            </w:r>
            <w:r>
              <w:rPr>
                <w:rFonts w:hint="eastAsia" w:ascii="微软雅黑" w:eastAsia="微软雅黑"/>
                <w:b/>
                <w:color w:val="auto"/>
                <w:sz w:val="21"/>
                <w:highlight w:val="none"/>
              </w:rPr>
              <w:t>及名</w:t>
            </w:r>
          </w:p>
          <w:p w14:paraId="7DA2C6E9">
            <w:pPr>
              <w:pStyle w:val="44"/>
              <w:spacing w:line="226" w:lineRule="exact"/>
              <w:ind w:left="143"/>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852" w:type="dxa"/>
          </w:tcPr>
          <w:p w14:paraId="68B5E548">
            <w:pPr>
              <w:pStyle w:val="44"/>
              <w:spacing w:line="257"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中类</w:t>
            </w:r>
          </w:p>
          <w:p w14:paraId="2529F91D">
            <w:pPr>
              <w:pStyle w:val="44"/>
              <w:spacing w:before="32" w:line="148" w:lineRule="auto"/>
              <w:ind w:left="213" w:right="100"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10"/>
                <w:sz w:val="21"/>
                <w:highlight w:val="none"/>
              </w:rPr>
              <w:t>代码</w:t>
            </w:r>
            <w:r>
              <w:rPr>
                <w:rFonts w:hint="eastAsia" w:ascii="微软雅黑" w:eastAsia="微软雅黑"/>
                <w:b/>
                <w:color w:val="auto"/>
                <w:sz w:val="21"/>
                <w:highlight w:val="none"/>
              </w:rPr>
              <w:t>及名</w:t>
            </w:r>
          </w:p>
          <w:p w14:paraId="56468DF9">
            <w:pPr>
              <w:pStyle w:val="44"/>
              <w:spacing w:line="226"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850" w:type="dxa"/>
          </w:tcPr>
          <w:p w14:paraId="6BC16B63">
            <w:pPr>
              <w:pStyle w:val="44"/>
              <w:spacing w:line="257"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小类</w:t>
            </w:r>
          </w:p>
          <w:p w14:paraId="76419E50">
            <w:pPr>
              <w:pStyle w:val="44"/>
              <w:spacing w:before="32" w:line="148" w:lineRule="auto"/>
              <w:ind w:left="213" w:right="98" w:hanging="106"/>
              <w:jc w:val="left"/>
              <w:rPr>
                <w:rFonts w:hint="eastAsia" w:ascii="微软雅黑" w:eastAsia="微软雅黑"/>
                <w:b/>
                <w:color w:val="auto"/>
                <w:sz w:val="21"/>
                <w:highlight w:val="none"/>
              </w:rPr>
            </w:pPr>
            <w:r>
              <w:rPr>
                <w:rFonts w:hint="eastAsia" w:ascii="微软雅黑" w:eastAsia="微软雅黑"/>
                <w:b/>
                <w:color w:val="auto"/>
                <w:sz w:val="21"/>
                <w:highlight w:val="none"/>
              </w:rPr>
              <w:t>（</w:t>
            </w:r>
            <w:r>
              <w:rPr>
                <w:rFonts w:hint="eastAsia" w:ascii="微软雅黑" w:eastAsia="微软雅黑"/>
                <w:b/>
                <w:color w:val="auto"/>
                <w:spacing w:val="-10"/>
                <w:sz w:val="21"/>
                <w:highlight w:val="none"/>
              </w:rPr>
              <w:t>代码</w:t>
            </w:r>
            <w:r>
              <w:rPr>
                <w:rFonts w:hint="eastAsia" w:ascii="微软雅黑" w:eastAsia="微软雅黑"/>
                <w:b/>
                <w:color w:val="auto"/>
                <w:sz w:val="21"/>
                <w:highlight w:val="none"/>
              </w:rPr>
              <w:t>及名</w:t>
            </w:r>
          </w:p>
          <w:p w14:paraId="4E634BE3">
            <w:pPr>
              <w:pStyle w:val="44"/>
              <w:spacing w:line="226" w:lineRule="exact"/>
              <w:ind w:left="213"/>
              <w:jc w:val="left"/>
              <w:rPr>
                <w:rFonts w:hint="eastAsia" w:ascii="微软雅黑" w:eastAsia="微软雅黑"/>
                <w:b/>
                <w:color w:val="auto"/>
                <w:sz w:val="21"/>
                <w:highlight w:val="none"/>
              </w:rPr>
            </w:pPr>
            <w:r>
              <w:rPr>
                <w:rFonts w:hint="eastAsia" w:ascii="微软雅黑" w:eastAsia="微软雅黑"/>
                <w:b/>
                <w:color w:val="auto"/>
                <w:sz w:val="21"/>
                <w:highlight w:val="none"/>
              </w:rPr>
              <w:t>称）</w:t>
            </w:r>
          </w:p>
        </w:tc>
        <w:tc>
          <w:tcPr>
            <w:tcW w:w="715" w:type="dxa"/>
          </w:tcPr>
          <w:p w14:paraId="526321CC">
            <w:pPr>
              <w:pStyle w:val="44"/>
              <w:spacing w:before="12"/>
              <w:jc w:val="left"/>
              <w:rPr>
                <w:rFonts w:hint="eastAsia" w:ascii="微软雅黑"/>
                <w:b/>
                <w:color w:val="auto"/>
                <w:sz w:val="15"/>
                <w:highlight w:val="none"/>
              </w:rPr>
            </w:pPr>
          </w:p>
          <w:p w14:paraId="40148340">
            <w:pPr>
              <w:pStyle w:val="44"/>
              <w:spacing w:line="148" w:lineRule="auto"/>
              <w:ind w:left="38" w:right="31"/>
              <w:jc w:val="left"/>
              <w:rPr>
                <w:rFonts w:hint="eastAsia" w:ascii="微软雅黑" w:eastAsia="微软雅黑"/>
                <w:b/>
                <w:color w:val="auto"/>
                <w:sz w:val="21"/>
                <w:highlight w:val="none"/>
              </w:rPr>
            </w:pPr>
            <w:r>
              <w:rPr>
                <w:rFonts w:hint="eastAsia" w:ascii="微软雅黑" w:eastAsia="微软雅黑"/>
                <w:b/>
                <w:color w:val="auto"/>
                <w:sz w:val="21"/>
                <w:highlight w:val="none"/>
              </w:rPr>
              <w:t>产业存在状况</w:t>
            </w:r>
          </w:p>
        </w:tc>
        <w:tc>
          <w:tcPr>
            <w:tcW w:w="3831" w:type="dxa"/>
          </w:tcPr>
          <w:p w14:paraId="6DFBF68E">
            <w:pPr>
              <w:pStyle w:val="44"/>
              <w:spacing w:before="8"/>
              <w:jc w:val="left"/>
              <w:rPr>
                <w:rFonts w:hint="eastAsia" w:ascii="微软雅黑"/>
                <w:b/>
                <w:color w:val="auto"/>
                <w:sz w:val="16"/>
                <w:highlight w:val="none"/>
              </w:rPr>
            </w:pPr>
          </w:p>
          <w:p w14:paraId="762E8A49">
            <w:pPr>
              <w:pStyle w:val="44"/>
              <w:spacing w:before="1"/>
              <w:ind w:left="1473" w:right="1468"/>
              <w:jc w:val="left"/>
              <w:rPr>
                <w:rFonts w:hint="eastAsia" w:ascii="微软雅黑" w:eastAsia="微软雅黑"/>
                <w:b/>
                <w:color w:val="auto"/>
                <w:sz w:val="21"/>
                <w:highlight w:val="none"/>
              </w:rPr>
            </w:pPr>
            <w:r>
              <w:rPr>
                <w:rFonts w:hint="eastAsia" w:ascii="微软雅黑" w:eastAsia="微软雅黑"/>
                <w:b/>
                <w:color w:val="auto"/>
                <w:sz w:val="21"/>
                <w:highlight w:val="none"/>
              </w:rPr>
              <w:t>管控要求</w:t>
            </w:r>
          </w:p>
        </w:tc>
        <w:tc>
          <w:tcPr>
            <w:tcW w:w="1659" w:type="dxa"/>
          </w:tcPr>
          <w:p w14:paraId="727C1784">
            <w:pPr>
              <w:pStyle w:val="44"/>
              <w:spacing w:before="8"/>
              <w:jc w:val="left"/>
              <w:rPr>
                <w:rFonts w:hint="eastAsia" w:ascii="微软雅黑"/>
                <w:b/>
                <w:color w:val="auto"/>
                <w:sz w:val="16"/>
                <w:highlight w:val="none"/>
              </w:rPr>
            </w:pPr>
          </w:p>
          <w:p w14:paraId="1D9F0CAE">
            <w:pPr>
              <w:pStyle w:val="44"/>
              <w:spacing w:before="1"/>
              <w:ind w:left="598" w:right="591"/>
              <w:rPr>
                <w:rFonts w:hint="eastAsia" w:ascii="微软雅黑" w:eastAsia="微软雅黑"/>
                <w:b/>
                <w:color w:val="auto"/>
                <w:sz w:val="21"/>
                <w:highlight w:val="none"/>
              </w:rPr>
            </w:pPr>
            <w:r>
              <w:rPr>
                <w:rFonts w:hint="eastAsia" w:ascii="微软雅黑" w:eastAsia="微软雅黑"/>
                <w:b/>
                <w:color w:val="auto"/>
                <w:sz w:val="21"/>
                <w:highlight w:val="none"/>
              </w:rPr>
              <w:t>备注</w:t>
            </w:r>
          </w:p>
        </w:tc>
      </w:tr>
      <w:tr w14:paraId="52DC4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416" w:type="dxa"/>
          </w:tcPr>
          <w:p w14:paraId="5D1277F3">
            <w:pPr>
              <w:pStyle w:val="44"/>
              <w:jc w:val="left"/>
              <w:rPr>
                <w:rFonts w:hint="eastAsia" w:ascii="Times New Roman"/>
                <w:color w:val="auto"/>
                <w:sz w:val="20"/>
                <w:highlight w:val="none"/>
              </w:rPr>
            </w:pPr>
          </w:p>
        </w:tc>
        <w:tc>
          <w:tcPr>
            <w:tcW w:w="708" w:type="dxa"/>
            <w:vMerge w:val="restart"/>
          </w:tcPr>
          <w:p w14:paraId="28909898">
            <w:pPr>
              <w:pStyle w:val="44"/>
              <w:jc w:val="left"/>
              <w:rPr>
                <w:rFonts w:hint="eastAsia" w:ascii="Times New Roman"/>
                <w:color w:val="auto"/>
                <w:sz w:val="20"/>
                <w:highlight w:val="none"/>
              </w:rPr>
            </w:pPr>
          </w:p>
        </w:tc>
        <w:tc>
          <w:tcPr>
            <w:tcW w:w="708" w:type="dxa"/>
            <w:vMerge w:val="restart"/>
          </w:tcPr>
          <w:p w14:paraId="4E3AC799">
            <w:pPr>
              <w:pStyle w:val="44"/>
              <w:jc w:val="left"/>
              <w:rPr>
                <w:rFonts w:hint="eastAsia" w:ascii="Times New Roman"/>
                <w:color w:val="auto"/>
                <w:sz w:val="20"/>
                <w:highlight w:val="none"/>
              </w:rPr>
            </w:pPr>
          </w:p>
        </w:tc>
        <w:tc>
          <w:tcPr>
            <w:tcW w:w="852" w:type="dxa"/>
          </w:tcPr>
          <w:p w14:paraId="40082441">
            <w:pPr>
              <w:pStyle w:val="44"/>
              <w:jc w:val="left"/>
              <w:rPr>
                <w:rFonts w:hint="eastAsia" w:ascii="Times New Roman"/>
                <w:color w:val="auto"/>
                <w:sz w:val="20"/>
                <w:highlight w:val="none"/>
              </w:rPr>
            </w:pPr>
          </w:p>
        </w:tc>
        <w:tc>
          <w:tcPr>
            <w:tcW w:w="850" w:type="dxa"/>
          </w:tcPr>
          <w:p w14:paraId="1363AC21">
            <w:pPr>
              <w:pStyle w:val="44"/>
              <w:jc w:val="left"/>
              <w:rPr>
                <w:rFonts w:hint="eastAsia" w:ascii="Times New Roman"/>
                <w:color w:val="auto"/>
                <w:sz w:val="20"/>
                <w:highlight w:val="none"/>
              </w:rPr>
            </w:pPr>
          </w:p>
        </w:tc>
        <w:tc>
          <w:tcPr>
            <w:tcW w:w="715" w:type="dxa"/>
          </w:tcPr>
          <w:p w14:paraId="71CF31A5">
            <w:pPr>
              <w:pStyle w:val="44"/>
              <w:jc w:val="left"/>
              <w:rPr>
                <w:rFonts w:hint="eastAsia" w:ascii="Times New Roman"/>
                <w:color w:val="auto"/>
                <w:sz w:val="20"/>
                <w:highlight w:val="none"/>
              </w:rPr>
            </w:pPr>
          </w:p>
        </w:tc>
        <w:tc>
          <w:tcPr>
            <w:tcW w:w="3831" w:type="dxa"/>
          </w:tcPr>
          <w:p w14:paraId="34B087F8">
            <w:pPr>
              <w:pStyle w:val="44"/>
              <w:spacing w:before="33" w:line="213" w:lineRule="auto"/>
              <w:ind w:left="26" w:right="218"/>
              <w:jc w:val="left"/>
              <w:rPr>
                <w:rFonts w:hint="eastAsia"/>
                <w:color w:val="auto"/>
                <w:sz w:val="21"/>
                <w:highlight w:val="none"/>
                <w:lang w:eastAsia="zh-CN"/>
              </w:rPr>
            </w:pPr>
            <w:r>
              <w:rPr>
                <w:color w:val="auto"/>
                <w:sz w:val="21"/>
                <w:highlight w:val="none"/>
                <w:lang w:eastAsia="zh-CN"/>
              </w:rPr>
              <w:t>灵、杀鼠醚、溴敌隆、溴鼠灵）生产项目</w:t>
            </w:r>
          </w:p>
        </w:tc>
        <w:tc>
          <w:tcPr>
            <w:tcW w:w="1659" w:type="dxa"/>
          </w:tcPr>
          <w:p w14:paraId="735D06D6">
            <w:pPr>
              <w:pStyle w:val="44"/>
              <w:jc w:val="left"/>
              <w:rPr>
                <w:rFonts w:hint="eastAsia" w:ascii="Times New Roman"/>
                <w:color w:val="auto"/>
                <w:sz w:val="20"/>
                <w:highlight w:val="none"/>
                <w:lang w:eastAsia="zh-CN"/>
              </w:rPr>
            </w:pPr>
          </w:p>
        </w:tc>
      </w:tr>
      <w:tr w14:paraId="32026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416" w:type="dxa"/>
          </w:tcPr>
          <w:p w14:paraId="67880D7B">
            <w:pPr>
              <w:pStyle w:val="44"/>
              <w:spacing w:before="6"/>
              <w:jc w:val="left"/>
              <w:rPr>
                <w:rFonts w:hint="eastAsia" w:ascii="微软雅黑"/>
                <w:b/>
                <w:color w:val="auto"/>
                <w:sz w:val="27"/>
                <w:highlight w:val="none"/>
                <w:lang w:eastAsia="zh-CN"/>
              </w:rPr>
            </w:pPr>
          </w:p>
          <w:p w14:paraId="697A281C">
            <w:pPr>
              <w:pStyle w:val="44"/>
              <w:spacing w:before="1"/>
              <w:ind w:left="102"/>
              <w:jc w:val="left"/>
              <w:rPr>
                <w:rFonts w:hint="eastAsia" w:ascii="Times New Roman"/>
                <w:color w:val="auto"/>
                <w:sz w:val="21"/>
                <w:highlight w:val="none"/>
              </w:rPr>
            </w:pPr>
            <w:r>
              <w:rPr>
                <w:rFonts w:ascii="Times New Roman"/>
                <w:color w:val="auto"/>
                <w:sz w:val="21"/>
                <w:highlight w:val="none"/>
              </w:rPr>
              <w:t>21</w:t>
            </w:r>
          </w:p>
        </w:tc>
        <w:tc>
          <w:tcPr>
            <w:tcW w:w="708" w:type="dxa"/>
            <w:vMerge w:val="continue"/>
            <w:tcBorders>
              <w:top w:val="nil"/>
            </w:tcBorders>
          </w:tcPr>
          <w:p w14:paraId="0E61A0C1">
            <w:pPr>
              <w:rPr>
                <w:rFonts w:hint="eastAsia"/>
                <w:color w:val="auto"/>
                <w:sz w:val="2"/>
                <w:szCs w:val="2"/>
                <w:highlight w:val="none"/>
              </w:rPr>
            </w:pPr>
          </w:p>
        </w:tc>
        <w:tc>
          <w:tcPr>
            <w:tcW w:w="708" w:type="dxa"/>
            <w:vMerge w:val="continue"/>
            <w:tcBorders>
              <w:top w:val="nil"/>
            </w:tcBorders>
          </w:tcPr>
          <w:p w14:paraId="5260B2C7">
            <w:pPr>
              <w:rPr>
                <w:rFonts w:hint="eastAsia"/>
                <w:color w:val="auto"/>
                <w:sz w:val="2"/>
                <w:szCs w:val="2"/>
                <w:highlight w:val="none"/>
              </w:rPr>
            </w:pPr>
          </w:p>
        </w:tc>
        <w:tc>
          <w:tcPr>
            <w:tcW w:w="852" w:type="dxa"/>
            <w:vMerge w:val="restart"/>
          </w:tcPr>
          <w:p w14:paraId="62B74BA4">
            <w:pPr>
              <w:pStyle w:val="44"/>
              <w:spacing w:before="8"/>
              <w:jc w:val="left"/>
              <w:rPr>
                <w:rFonts w:hint="eastAsia" w:ascii="微软雅黑"/>
                <w:b/>
                <w:color w:val="auto"/>
                <w:sz w:val="28"/>
                <w:highlight w:val="none"/>
                <w:lang w:eastAsia="zh-CN"/>
              </w:rPr>
            </w:pPr>
          </w:p>
          <w:p w14:paraId="2CDDBA21">
            <w:pPr>
              <w:pStyle w:val="44"/>
              <w:spacing w:line="255" w:lineRule="exact"/>
              <w:ind w:left="136"/>
              <w:jc w:val="both"/>
              <w:rPr>
                <w:rFonts w:hint="eastAsia"/>
                <w:color w:val="auto"/>
                <w:sz w:val="21"/>
                <w:highlight w:val="none"/>
                <w:lang w:eastAsia="zh-CN"/>
              </w:rPr>
            </w:pPr>
            <w:r>
              <w:rPr>
                <w:rFonts w:ascii="Times New Roman" w:eastAsia="Times New Roman"/>
                <w:color w:val="auto"/>
                <w:sz w:val="21"/>
                <w:highlight w:val="none"/>
                <w:lang w:eastAsia="zh-CN"/>
              </w:rPr>
              <w:t xml:space="preserve">264 </w:t>
            </w:r>
            <w:r>
              <w:rPr>
                <w:color w:val="auto"/>
                <w:sz w:val="21"/>
                <w:highlight w:val="none"/>
                <w:lang w:eastAsia="zh-CN"/>
              </w:rPr>
              <w:t>涂</w:t>
            </w:r>
          </w:p>
          <w:p w14:paraId="513A5EE0">
            <w:pPr>
              <w:pStyle w:val="44"/>
              <w:spacing w:before="8" w:line="213" w:lineRule="auto"/>
              <w:ind w:left="109" w:right="96"/>
              <w:jc w:val="both"/>
              <w:rPr>
                <w:rFonts w:hint="eastAsia"/>
                <w:color w:val="auto"/>
                <w:sz w:val="21"/>
                <w:highlight w:val="none"/>
                <w:lang w:eastAsia="zh-CN"/>
              </w:rPr>
            </w:pPr>
            <w:r>
              <w:rPr>
                <w:color w:val="auto"/>
                <w:sz w:val="21"/>
                <w:highlight w:val="none"/>
                <w:lang w:eastAsia="zh-CN"/>
              </w:rPr>
              <w:t>料、油墨、颜料及类似产品制造</w:t>
            </w:r>
          </w:p>
        </w:tc>
        <w:tc>
          <w:tcPr>
            <w:tcW w:w="850" w:type="dxa"/>
          </w:tcPr>
          <w:p w14:paraId="47569DE0">
            <w:pPr>
              <w:pStyle w:val="44"/>
              <w:spacing w:before="1"/>
              <w:jc w:val="left"/>
              <w:rPr>
                <w:rFonts w:hint="eastAsia" w:ascii="微软雅黑"/>
                <w:b/>
                <w:color w:val="auto"/>
                <w:sz w:val="20"/>
                <w:highlight w:val="none"/>
                <w:lang w:eastAsia="zh-CN"/>
              </w:rPr>
            </w:pPr>
          </w:p>
          <w:p w14:paraId="60F386CB">
            <w:pPr>
              <w:pStyle w:val="44"/>
              <w:spacing w:before="1" w:line="255" w:lineRule="exact"/>
              <w:ind w:left="83"/>
              <w:jc w:val="left"/>
              <w:rPr>
                <w:rFonts w:hint="eastAsia"/>
                <w:color w:val="auto"/>
                <w:sz w:val="21"/>
                <w:highlight w:val="none"/>
              </w:rPr>
            </w:pPr>
            <w:r>
              <w:rPr>
                <w:rFonts w:ascii="Times New Roman" w:eastAsia="Times New Roman"/>
                <w:color w:val="auto"/>
                <w:sz w:val="21"/>
                <w:highlight w:val="none"/>
              </w:rPr>
              <w:t>2641</w:t>
            </w:r>
            <w:r>
              <w:rPr>
                <w:rFonts w:ascii="Times New Roman" w:eastAsia="Times New Roman"/>
                <w:color w:val="auto"/>
                <w:spacing w:val="1"/>
                <w:sz w:val="21"/>
                <w:highlight w:val="none"/>
              </w:rPr>
              <w:t xml:space="preserve"> </w:t>
            </w:r>
            <w:r>
              <w:rPr>
                <w:color w:val="auto"/>
                <w:sz w:val="21"/>
                <w:highlight w:val="none"/>
              </w:rPr>
              <w:t>涂</w:t>
            </w:r>
          </w:p>
          <w:p w14:paraId="79871394">
            <w:pPr>
              <w:pStyle w:val="44"/>
              <w:spacing w:line="255" w:lineRule="exact"/>
              <w:ind w:left="107"/>
              <w:jc w:val="left"/>
              <w:rPr>
                <w:rFonts w:hint="eastAsia"/>
                <w:color w:val="auto"/>
                <w:sz w:val="21"/>
                <w:highlight w:val="none"/>
              </w:rPr>
            </w:pPr>
            <w:r>
              <w:rPr>
                <w:color w:val="auto"/>
                <w:sz w:val="21"/>
                <w:highlight w:val="none"/>
              </w:rPr>
              <w:t>料制造</w:t>
            </w:r>
          </w:p>
        </w:tc>
        <w:tc>
          <w:tcPr>
            <w:tcW w:w="715" w:type="dxa"/>
          </w:tcPr>
          <w:p w14:paraId="4E06FBF1">
            <w:pPr>
              <w:pStyle w:val="44"/>
              <w:spacing w:before="6"/>
              <w:jc w:val="left"/>
              <w:rPr>
                <w:rFonts w:hint="eastAsia" w:ascii="微软雅黑"/>
                <w:b/>
                <w:color w:val="auto"/>
                <w:sz w:val="21"/>
                <w:highlight w:val="none"/>
              </w:rPr>
            </w:pPr>
          </w:p>
          <w:p w14:paraId="7CFC2B08">
            <w:pPr>
              <w:pStyle w:val="44"/>
              <w:spacing w:line="213" w:lineRule="auto"/>
              <w:ind w:left="40" w:right="30"/>
              <w:jc w:val="left"/>
              <w:rPr>
                <w:rFonts w:hint="eastAsia"/>
                <w:color w:val="auto"/>
                <w:sz w:val="21"/>
                <w:highlight w:val="none"/>
              </w:rPr>
            </w:pPr>
            <w:r>
              <w:rPr>
                <w:color w:val="auto"/>
                <w:sz w:val="21"/>
                <w:highlight w:val="none"/>
              </w:rPr>
              <w:t>规划发展产业</w:t>
            </w:r>
          </w:p>
        </w:tc>
        <w:tc>
          <w:tcPr>
            <w:tcW w:w="3831" w:type="dxa"/>
          </w:tcPr>
          <w:p w14:paraId="710BD3FB">
            <w:pPr>
              <w:pStyle w:val="44"/>
              <w:numPr>
                <w:ilvl w:val="0"/>
                <w:numId w:val="11"/>
              </w:numPr>
              <w:tabs>
                <w:tab w:val="left" w:pos="186"/>
              </w:tabs>
              <w:spacing w:before="33" w:line="213" w:lineRule="auto"/>
              <w:ind w:right="60" w:firstLine="0"/>
              <w:jc w:val="left"/>
              <w:rPr>
                <w:rFonts w:hint="eastAsia"/>
                <w:color w:val="auto"/>
                <w:sz w:val="21"/>
                <w:highlight w:val="none"/>
                <w:lang w:eastAsia="zh-CN"/>
              </w:rPr>
            </w:pPr>
            <w:r>
              <w:rPr>
                <w:color w:val="auto"/>
                <w:spacing w:val="-4"/>
                <w:sz w:val="21"/>
                <w:highlight w:val="none"/>
                <w:lang w:eastAsia="zh-CN"/>
              </w:rPr>
              <w:t>新建项目清洁生产水平不得低于清洁生</w:t>
            </w:r>
            <w:r>
              <w:rPr>
                <w:color w:val="auto"/>
                <w:spacing w:val="-3"/>
                <w:sz w:val="21"/>
                <w:highlight w:val="none"/>
                <w:lang w:eastAsia="zh-CN"/>
              </w:rPr>
              <w:t>产国内先进水平，并一律进入完成生态化改造的工业园区；</w:t>
            </w:r>
          </w:p>
          <w:p w14:paraId="6DD02A9C">
            <w:pPr>
              <w:pStyle w:val="44"/>
              <w:numPr>
                <w:ilvl w:val="0"/>
                <w:numId w:val="11"/>
              </w:numPr>
              <w:tabs>
                <w:tab w:val="left" w:pos="186"/>
              </w:tabs>
              <w:spacing w:before="2" w:line="213" w:lineRule="auto"/>
              <w:ind w:right="60" w:firstLine="0"/>
              <w:jc w:val="left"/>
              <w:rPr>
                <w:rFonts w:hint="eastAsia"/>
                <w:color w:val="auto"/>
                <w:sz w:val="21"/>
                <w:highlight w:val="none"/>
                <w:lang w:eastAsia="zh-CN"/>
              </w:rPr>
            </w:pPr>
            <w:r>
              <w:rPr>
                <w:color w:val="auto"/>
                <w:spacing w:val="-4"/>
                <w:sz w:val="21"/>
                <w:highlight w:val="none"/>
                <w:lang w:eastAsia="zh-CN"/>
              </w:rPr>
              <w:t>新建项目“三废”排放标准要严于国家</w:t>
            </w:r>
            <w:r>
              <w:rPr>
                <w:color w:val="auto"/>
                <w:spacing w:val="-1"/>
                <w:sz w:val="21"/>
                <w:highlight w:val="none"/>
                <w:lang w:eastAsia="zh-CN"/>
              </w:rPr>
              <w:t>排放标准</w:t>
            </w:r>
          </w:p>
        </w:tc>
        <w:tc>
          <w:tcPr>
            <w:tcW w:w="1659" w:type="dxa"/>
          </w:tcPr>
          <w:p w14:paraId="65FF8833">
            <w:pPr>
              <w:pStyle w:val="44"/>
              <w:spacing w:before="6"/>
              <w:jc w:val="left"/>
              <w:rPr>
                <w:rFonts w:hint="eastAsia" w:ascii="微软雅黑"/>
                <w:b/>
                <w:color w:val="auto"/>
                <w:sz w:val="21"/>
                <w:highlight w:val="none"/>
                <w:lang w:eastAsia="zh-CN"/>
              </w:rPr>
            </w:pPr>
          </w:p>
          <w:p w14:paraId="1718EB2A">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43963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22314BAF">
            <w:pPr>
              <w:pStyle w:val="44"/>
              <w:spacing w:before="6"/>
              <w:jc w:val="left"/>
              <w:rPr>
                <w:rFonts w:hint="eastAsia" w:ascii="微软雅黑"/>
                <w:b/>
                <w:color w:val="auto"/>
                <w:sz w:val="27"/>
                <w:highlight w:val="none"/>
                <w:lang w:eastAsia="zh-CN"/>
              </w:rPr>
            </w:pPr>
          </w:p>
          <w:p w14:paraId="58313869">
            <w:pPr>
              <w:pStyle w:val="44"/>
              <w:spacing w:before="1"/>
              <w:ind w:left="102"/>
              <w:jc w:val="left"/>
              <w:rPr>
                <w:rFonts w:hint="eastAsia" w:ascii="Times New Roman"/>
                <w:color w:val="auto"/>
                <w:sz w:val="21"/>
                <w:highlight w:val="none"/>
              </w:rPr>
            </w:pPr>
            <w:r>
              <w:rPr>
                <w:rFonts w:ascii="Times New Roman"/>
                <w:color w:val="auto"/>
                <w:sz w:val="21"/>
                <w:highlight w:val="none"/>
              </w:rPr>
              <w:t>22</w:t>
            </w:r>
          </w:p>
        </w:tc>
        <w:tc>
          <w:tcPr>
            <w:tcW w:w="708" w:type="dxa"/>
            <w:vMerge w:val="continue"/>
            <w:tcBorders>
              <w:top w:val="nil"/>
            </w:tcBorders>
          </w:tcPr>
          <w:p w14:paraId="734E0B0E">
            <w:pPr>
              <w:rPr>
                <w:rFonts w:hint="eastAsia"/>
                <w:color w:val="auto"/>
                <w:sz w:val="2"/>
                <w:szCs w:val="2"/>
                <w:highlight w:val="none"/>
              </w:rPr>
            </w:pPr>
          </w:p>
        </w:tc>
        <w:tc>
          <w:tcPr>
            <w:tcW w:w="708" w:type="dxa"/>
            <w:vMerge w:val="continue"/>
            <w:tcBorders>
              <w:top w:val="nil"/>
            </w:tcBorders>
          </w:tcPr>
          <w:p w14:paraId="140AFC0B">
            <w:pPr>
              <w:rPr>
                <w:rFonts w:hint="eastAsia"/>
                <w:color w:val="auto"/>
                <w:sz w:val="2"/>
                <w:szCs w:val="2"/>
                <w:highlight w:val="none"/>
              </w:rPr>
            </w:pPr>
          </w:p>
        </w:tc>
        <w:tc>
          <w:tcPr>
            <w:tcW w:w="852" w:type="dxa"/>
            <w:vMerge w:val="continue"/>
            <w:tcBorders>
              <w:top w:val="nil"/>
            </w:tcBorders>
          </w:tcPr>
          <w:p w14:paraId="0473F177">
            <w:pPr>
              <w:rPr>
                <w:rFonts w:hint="eastAsia"/>
                <w:color w:val="auto"/>
                <w:sz w:val="2"/>
                <w:szCs w:val="2"/>
                <w:highlight w:val="none"/>
              </w:rPr>
            </w:pPr>
          </w:p>
        </w:tc>
        <w:tc>
          <w:tcPr>
            <w:tcW w:w="850" w:type="dxa"/>
          </w:tcPr>
          <w:p w14:paraId="6F030FEF">
            <w:pPr>
              <w:pStyle w:val="44"/>
              <w:spacing w:before="1"/>
              <w:jc w:val="left"/>
              <w:rPr>
                <w:rFonts w:hint="eastAsia" w:ascii="微软雅黑"/>
                <w:b/>
                <w:color w:val="auto"/>
                <w:sz w:val="20"/>
                <w:highlight w:val="none"/>
              </w:rPr>
            </w:pPr>
          </w:p>
          <w:p w14:paraId="63873C62">
            <w:pPr>
              <w:pStyle w:val="44"/>
              <w:spacing w:before="1" w:line="255" w:lineRule="exact"/>
              <w:ind w:left="83"/>
              <w:jc w:val="left"/>
              <w:rPr>
                <w:rFonts w:hint="eastAsia"/>
                <w:color w:val="auto"/>
                <w:sz w:val="21"/>
                <w:highlight w:val="none"/>
              </w:rPr>
            </w:pPr>
            <w:r>
              <w:rPr>
                <w:rFonts w:ascii="Times New Roman" w:eastAsia="Times New Roman"/>
                <w:color w:val="auto"/>
                <w:sz w:val="21"/>
                <w:highlight w:val="none"/>
              </w:rPr>
              <w:t>2645</w:t>
            </w:r>
            <w:r>
              <w:rPr>
                <w:rFonts w:ascii="Times New Roman" w:eastAsia="Times New Roman"/>
                <w:color w:val="auto"/>
                <w:spacing w:val="1"/>
                <w:sz w:val="21"/>
                <w:highlight w:val="none"/>
              </w:rPr>
              <w:t xml:space="preserve"> </w:t>
            </w:r>
            <w:r>
              <w:rPr>
                <w:color w:val="auto"/>
                <w:sz w:val="21"/>
                <w:highlight w:val="none"/>
              </w:rPr>
              <w:t>染</w:t>
            </w:r>
          </w:p>
          <w:p w14:paraId="56245F7B">
            <w:pPr>
              <w:pStyle w:val="44"/>
              <w:spacing w:line="255" w:lineRule="exact"/>
              <w:ind w:left="107"/>
              <w:jc w:val="left"/>
              <w:rPr>
                <w:rFonts w:hint="eastAsia"/>
                <w:color w:val="auto"/>
                <w:sz w:val="21"/>
                <w:highlight w:val="none"/>
              </w:rPr>
            </w:pPr>
            <w:r>
              <w:rPr>
                <w:color w:val="auto"/>
                <w:sz w:val="21"/>
                <w:highlight w:val="none"/>
              </w:rPr>
              <w:t>料制造</w:t>
            </w:r>
          </w:p>
        </w:tc>
        <w:tc>
          <w:tcPr>
            <w:tcW w:w="715" w:type="dxa"/>
          </w:tcPr>
          <w:p w14:paraId="4C6FD064">
            <w:pPr>
              <w:pStyle w:val="44"/>
              <w:spacing w:before="6"/>
              <w:jc w:val="left"/>
              <w:rPr>
                <w:rFonts w:hint="eastAsia" w:ascii="微软雅黑"/>
                <w:b/>
                <w:color w:val="auto"/>
                <w:sz w:val="21"/>
                <w:highlight w:val="none"/>
              </w:rPr>
            </w:pPr>
          </w:p>
          <w:p w14:paraId="789A7CF1">
            <w:pPr>
              <w:pStyle w:val="44"/>
              <w:spacing w:line="213" w:lineRule="auto"/>
              <w:ind w:left="40" w:right="30"/>
              <w:jc w:val="left"/>
              <w:rPr>
                <w:rFonts w:hint="eastAsia"/>
                <w:color w:val="auto"/>
                <w:sz w:val="21"/>
                <w:highlight w:val="none"/>
              </w:rPr>
            </w:pPr>
            <w:r>
              <w:rPr>
                <w:color w:val="auto"/>
                <w:sz w:val="21"/>
                <w:highlight w:val="none"/>
              </w:rPr>
              <w:t>规划发展产业</w:t>
            </w:r>
          </w:p>
        </w:tc>
        <w:tc>
          <w:tcPr>
            <w:tcW w:w="3831" w:type="dxa"/>
          </w:tcPr>
          <w:p w14:paraId="59B829FA">
            <w:pPr>
              <w:pStyle w:val="44"/>
              <w:numPr>
                <w:ilvl w:val="0"/>
                <w:numId w:val="12"/>
              </w:numPr>
              <w:tabs>
                <w:tab w:val="left" w:pos="186"/>
              </w:tabs>
              <w:spacing w:before="33" w:line="213" w:lineRule="auto"/>
              <w:ind w:right="60" w:firstLine="0"/>
              <w:jc w:val="left"/>
              <w:rPr>
                <w:rFonts w:hint="eastAsia"/>
                <w:color w:val="auto"/>
                <w:sz w:val="21"/>
                <w:highlight w:val="none"/>
                <w:lang w:eastAsia="zh-CN"/>
              </w:rPr>
            </w:pPr>
            <w:r>
              <w:rPr>
                <w:color w:val="auto"/>
                <w:spacing w:val="-4"/>
                <w:sz w:val="21"/>
                <w:highlight w:val="none"/>
                <w:lang w:eastAsia="zh-CN"/>
              </w:rPr>
              <w:t>新建项目清洁生产水平不得低于清洁生</w:t>
            </w:r>
            <w:r>
              <w:rPr>
                <w:color w:val="auto"/>
                <w:spacing w:val="-3"/>
                <w:sz w:val="21"/>
                <w:highlight w:val="none"/>
                <w:lang w:eastAsia="zh-CN"/>
              </w:rPr>
              <w:t>产国内先进水平，并一律进入完成生态化改造的工业园区；</w:t>
            </w:r>
          </w:p>
          <w:p w14:paraId="092F428D">
            <w:pPr>
              <w:pStyle w:val="44"/>
              <w:numPr>
                <w:ilvl w:val="0"/>
                <w:numId w:val="12"/>
              </w:numPr>
              <w:tabs>
                <w:tab w:val="left" w:pos="186"/>
              </w:tabs>
              <w:spacing w:before="3" w:line="213" w:lineRule="auto"/>
              <w:ind w:right="60" w:firstLine="0"/>
              <w:jc w:val="left"/>
              <w:rPr>
                <w:rFonts w:hint="eastAsia"/>
                <w:color w:val="auto"/>
                <w:sz w:val="21"/>
                <w:highlight w:val="none"/>
                <w:lang w:eastAsia="zh-CN"/>
              </w:rPr>
            </w:pPr>
            <w:r>
              <w:rPr>
                <w:color w:val="auto"/>
                <w:spacing w:val="-4"/>
                <w:sz w:val="21"/>
                <w:highlight w:val="none"/>
                <w:lang w:eastAsia="zh-CN"/>
              </w:rPr>
              <w:t>新建项目“三废”排放标准要严于国家</w:t>
            </w:r>
            <w:r>
              <w:rPr>
                <w:color w:val="auto"/>
                <w:spacing w:val="-1"/>
                <w:sz w:val="21"/>
                <w:highlight w:val="none"/>
                <w:lang w:eastAsia="zh-CN"/>
              </w:rPr>
              <w:t>排放标准</w:t>
            </w:r>
          </w:p>
        </w:tc>
        <w:tc>
          <w:tcPr>
            <w:tcW w:w="1659" w:type="dxa"/>
          </w:tcPr>
          <w:p w14:paraId="7518CFD2">
            <w:pPr>
              <w:pStyle w:val="44"/>
              <w:spacing w:before="6"/>
              <w:jc w:val="left"/>
              <w:rPr>
                <w:rFonts w:hint="eastAsia" w:ascii="微软雅黑"/>
                <w:b/>
                <w:color w:val="auto"/>
                <w:sz w:val="21"/>
                <w:highlight w:val="none"/>
                <w:lang w:eastAsia="zh-CN"/>
              </w:rPr>
            </w:pPr>
          </w:p>
          <w:p w14:paraId="53E998C2">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54E4E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416" w:type="dxa"/>
          </w:tcPr>
          <w:p w14:paraId="7429B001">
            <w:pPr>
              <w:pStyle w:val="44"/>
              <w:spacing w:before="6"/>
              <w:jc w:val="left"/>
              <w:rPr>
                <w:rFonts w:hint="eastAsia" w:ascii="微软雅黑"/>
                <w:b/>
                <w:color w:val="auto"/>
                <w:sz w:val="27"/>
                <w:highlight w:val="none"/>
                <w:lang w:eastAsia="zh-CN"/>
              </w:rPr>
            </w:pPr>
          </w:p>
          <w:p w14:paraId="7E521C42">
            <w:pPr>
              <w:pStyle w:val="44"/>
              <w:spacing w:before="1"/>
              <w:ind w:left="102"/>
              <w:jc w:val="left"/>
              <w:rPr>
                <w:rFonts w:hint="eastAsia" w:ascii="Times New Roman"/>
                <w:color w:val="auto"/>
                <w:sz w:val="21"/>
                <w:highlight w:val="none"/>
              </w:rPr>
            </w:pPr>
            <w:r>
              <w:rPr>
                <w:rFonts w:ascii="Times New Roman"/>
                <w:color w:val="auto"/>
                <w:sz w:val="21"/>
                <w:highlight w:val="none"/>
              </w:rPr>
              <w:t>23</w:t>
            </w:r>
          </w:p>
        </w:tc>
        <w:tc>
          <w:tcPr>
            <w:tcW w:w="708" w:type="dxa"/>
            <w:vMerge w:val="continue"/>
            <w:tcBorders>
              <w:top w:val="nil"/>
            </w:tcBorders>
          </w:tcPr>
          <w:p w14:paraId="2F130098">
            <w:pPr>
              <w:rPr>
                <w:rFonts w:hint="eastAsia"/>
                <w:color w:val="auto"/>
                <w:sz w:val="2"/>
                <w:szCs w:val="2"/>
                <w:highlight w:val="none"/>
              </w:rPr>
            </w:pPr>
          </w:p>
        </w:tc>
        <w:tc>
          <w:tcPr>
            <w:tcW w:w="708" w:type="dxa"/>
            <w:vMerge w:val="restart"/>
          </w:tcPr>
          <w:p w14:paraId="070AA15C">
            <w:pPr>
              <w:pStyle w:val="44"/>
              <w:jc w:val="left"/>
              <w:rPr>
                <w:rFonts w:hint="eastAsia" w:ascii="微软雅黑"/>
                <w:b/>
                <w:color w:val="auto"/>
                <w:sz w:val="20"/>
                <w:highlight w:val="none"/>
              </w:rPr>
            </w:pPr>
          </w:p>
          <w:p w14:paraId="3DDD0D9B">
            <w:pPr>
              <w:pStyle w:val="44"/>
              <w:spacing w:before="4"/>
              <w:jc w:val="left"/>
              <w:rPr>
                <w:rFonts w:hint="eastAsia" w:ascii="微软雅黑"/>
                <w:b/>
                <w:color w:val="auto"/>
                <w:sz w:val="29"/>
                <w:highlight w:val="none"/>
              </w:rPr>
            </w:pPr>
          </w:p>
          <w:p w14:paraId="645FBC36">
            <w:pPr>
              <w:pStyle w:val="44"/>
              <w:spacing w:line="213" w:lineRule="auto"/>
              <w:ind w:left="37" w:right="24"/>
              <w:rPr>
                <w:rFonts w:hint="eastAsia"/>
                <w:color w:val="auto"/>
                <w:sz w:val="21"/>
                <w:highlight w:val="none"/>
              </w:rPr>
            </w:pPr>
            <w:r>
              <w:rPr>
                <w:rFonts w:ascii="Times New Roman" w:eastAsia="Times New Roman"/>
                <w:color w:val="auto"/>
                <w:sz w:val="21"/>
                <w:highlight w:val="none"/>
              </w:rPr>
              <w:t xml:space="preserve">27 </w:t>
            </w:r>
            <w:r>
              <w:rPr>
                <w:color w:val="auto"/>
                <w:sz w:val="21"/>
                <w:highlight w:val="none"/>
              </w:rPr>
              <w:t>医药制造业</w:t>
            </w:r>
          </w:p>
        </w:tc>
        <w:tc>
          <w:tcPr>
            <w:tcW w:w="852" w:type="dxa"/>
          </w:tcPr>
          <w:p w14:paraId="47C459B4">
            <w:pPr>
              <w:pStyle w:val="44"/>
              <w:spacing w:before="153" w:line="213" w:lineRule="auto"/>
              <w:ind w:left="30" w:right="22"/>
              <w:rPr>
                <w:rFonts w:hint="eastAsia"/>
                <w:color w:val="auto"/>
                <w:sz w:val="21"/>
                <w:highlight w:val="none"/>
              </w:rPr>
            </w:pPr>
            <w:r>
              <w:rPr>
                <w:rFonts w:ascii="Times New Roman" w:eastAsia="Times New Roman"/>
                <w:color w:val="auto"/>
                <w:sz w:val="21"/>
                <w:highlight w:val="none"/>
              </w:rPr>
              <w:t xml:space="preserve">271 </w:t>
            </w:r>
            <w:r>
              <w:rPr>
                <w:color w:val="auto"/>
                <w:sz w:val="21"/>
                <w:highlight w:val="none"/>
              </w:rPr>
              <w:t>化学药品原料药制造</w:t>
            </w:r>
          </w:p>
        </w:tc>
        <w:tc>
          <w:tcPr>
            <w:tcW w:w="850" w:type="dxa"/>
          </w:tcPr>
          <w:p w14:paraId="19451F85">
            <w:pPr>
              <w:pStyle w:val="44"/>
              <w:spacing w:before="130" w:line="255" w:lineRule="exact"/>
              <w:ind w:left="83"/>
              <w:jc w:val="both"/>
              <w:rPr>
                <w:rFonts w:hint="eastAsia"/>
                <w:color w:val="auto"/>
                <w:sz w:val="21"/>
                <w:highlight w:val="none"/>
              </w:rPr>
            </w:pPr>
            <w:r>
              <w:rPr>
                <w:rFonts w:ascii="Times New Roman" w:eastAsia="Times New Roman"/>
                <w:color w:val="auto"/>
                <w:sz w:val="21"/>
                <w:highlight w:val="none"/>
              </w:rPr>
              <w:t xml:space="preserve">2710 </w:t>
            </w:r>
            <w:r>
              <w:rPr>
                <w:color w:val="auto"/>
                <w:sz w:val="21"/>
                <w:highlight w:val="none"/>
              </w:rPr>
              <w:t>化学药品原料药制造</w:t>
            </w:r>
          </w:p>
        </w:tc>
        <w:tc>
          <w:tcPr>
            <w:tcW w:w="715" w:type="dxa"/>
          </w:tcPr>
          <w:p w14:paraId="0BD6F355">
            <w:pPr>
              <w:pStyle w:val="44"/>
              <w:spacing w:before="6"/>
              <w:jc w:val="left"/>
              <w:rPr>
                <w:rFonts w:hint="eastAsia" w:ascii="微软雅黑"/>
                <w:b/>
                <w:color w:val="auto"/>
                <w:sz w:val="21"/>
                <w:highlight w:val="none"/>
              </w:rPr>
            </w:pPr>
          </w:p>
          <w:p w14:paraId="5041B854">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04494E0E">
            <w:pPr>
              <w:pStyle w:val="44"/>
              <w:numPr>
                <w:ilvl w:val="0"/>
                <w:numId w:val="13"/>
              </w:numPr>
              <w:tabs>
                <w:tab w:val="left" w:pos="186"/>
              </w:tabs>
              <w:spacing w:before="33" w:line="213" w:lineRule="auto"/>
              <w:ind w:right="60" w:firstLine="0"/>
              <w:jc w:val="left"/>
              <w:rPr>
                <w:rFonts w:hint="eastAsia"/>
                <w:color w:val="auto"/>
                <w:sz w:val="21"/>
                <w:highlight w:val="none"/>
                <w:lang w:eastAsia="zh-CN"/>
              </w:rPr>
            </w:pPr>
            <w:r>
              <w:rPr>
                <w:color w:val="auto"/>
                <w:spacing w:val="-4"/>
                <w:sz w:val="21"/>
                <w:highlight w:val="none"/>
                <w:lang w:eastAsia="zh-CN"/>
              </w:rPr>
              <w:t>新建项目清洁生产水平不得低于清洁生</w:t>
            </w:r>
            <w:r>
              <w:rPr>
                <w:color w:val="auto"/>
                <w:spacing w:val="-3"/>
                <w:sz w:val="21"/>
                <w:highlight w:val="none"/>
                <w:lang w:eastAsia="zh-CN"/>
              </w:rPr>
              <w:t>产国内先进水平，并一律进入完成生态化改造的工业园区；</w:t>
            </w:r>
          </w:p>
          <w:p w14:paraId="0B4412E8">
            <w:pPr>
              <w:pStyle w:val="44"/>
              <w:numPr>
                <w:ilvl w:val="0"/>
                <w:numId w:val="13"/>
              </w:numPr>
              <w:tabs>
                <w:tab w:val="left" w:pos="186"/>
              </w:tabs>
              <w:spacing w:before="2" w:line="213" w:lineRule="auto"/>
              <w:ind w:right="60" w:firstLine="0"/>
              <w:jc w:val="left"/>
              <w:rPr>
                <w:rFonts w:hint="eastAsia"/>
                <w:color w:val="auto"/>
                <w:sz w:val="21"/>
                <w:highlight w:val="none"/>
                <w:lang w:eastAsia="zh-CN"/>
              </w:rPr>
            </w:pPr>
            <w:r>
              <w:rPr>
                <w:color w:val="auto"/>
                <w:spacing w:val="-4"/>
                <w:sz w:val="21"/>
                <w:highlight w:val="none"/>
                <w:lang w:eastAsia="zh-CN"/>
              </w:rPr>
              <w:t>新建项目“三废”排放标准要严于国家</w:t>
            </w:r>
            <w:r>
              <w:rPr>
                <w:color w:val="auto"/>
                <w:spacing w:val="-1"/>
                <w:sz w:val="21"/>
                <w:highlight w:val="none"/>
                <w:lang w:eastAsia="zh-CN"/>
              </w:rPr>
              <w:t>排放标准</w:t>
            </w:r>
          </w:p>
        </w:tc>
        <w:tc>
          <w:tcPr>
            <w:tcW w:w="1659" w:type="dxa"/>
          </w:tcPr>
          <w:p w14:paraId="4D95FB03">
            <w:pPr>
              <w:pStyle w:val="44"/>
              <w:spacing w:before="6"/>
              <w:jc w:val="left"/>
              <w:rPr>
                <w:rFonts w:hint="eastAsia" w:ascii="微软雅黑"/>
                <w:b/>
                <w:color w:val="auto"/>
                <w:sz w:val="21"/>
                <w:highlight w:val="none"/>
                <w:lang w:eastAsia="zh-CN"/>
              </w:rPr>
            </w:pPr>
          </w:p>
          <w:p w14:paraId="0DCB8CCB">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621A1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416" w:type="dxa"/>
          </w:tcPr>
          <w:p w14:paraId="6D8CA223">
            <w:pPr>
              <w:pStyle w:val="44"/>
              <w:spacing w:before="6"/>
              <w:jc w:val="left"/>
              <w:rPr>
                <w:rFonts w:hint="eastAsia" w:ascii="微软雅黑"/>
                <w:b/>
                <w:color w:val="auto"/>
                <w:sz w:val="27"/>
                <w:highlight w:val="none"/>
                <w:lang w:eastAsia="zh-CN"/>
              </w:rPr>
            </w:pPr>
          </w:p>
          <w:p w14:paraId="473514DF">
            <w:pPr>
              <w:pStyle w:val="44"/>
              <w:spacing w:before="1"/>
              <w:ind w:left="102"/>
              <w:jc w:val="left"/>
              <w:rPr>
                <w:rFonts w:hint="eastAsia" w:ascii="Times New Roman"/>
                <w:color w:val="auto"/>
                <w:sz w:val="21"/>
                <w:highlight w:val="none"/>
              </w:rPr>
            </w:pPr>
            <w:r>
              <w:rPr>
                <w:rFonts w:ascii="Times New Roman"/>
                <w:color w:val="auto"/>
                <w:sz w:val="21"/>
                <w:highlight w:val="none"/>
              </w:rPr>
              <w:t>24</w:t>
            </w:r>
          </w:p>
        </w:tc>
        <w:tc>
          <w:tcPr>
            <w:tcW w:w="708" w:type="dxa"/>
            <w:vMerge w:val="continue"/>
            <w:tcBorders>
              <w:top w:val="nil"/>
            </w:tcBorders>
          </w:tcPr>
          <w:p w14:paraId="5A6E881A">
            <w:pPr>
              <w:rPr>
                <w:rFonts w:hint="eastAsia"/>
                <w:color w:val="auto"/>
                <w:sz w:val="2"/>
                <w:szCs w:val="2"/>
                <w:highlight w:val="none"/>
              </w:rPr>
            </w:pPr>
          </w:p>
        </w:tc>
        <w:tc>
          <w:tcPr>
            <w:tcW w:w="708" w:type="dxa"/>
            <w:vMerge w:val="continue"/>
            <w:tcBorders>
              <w:top w:val="nil"/>
            </w:tcBorders>
          </w:tcPr>
          <w:p w14:paraId="5D682629">
            <w:pPr>
              <w:rPr>
                <w:rFonts w:hint="eastAsia"/>
                <w:color w:val="auto"/>
                <w:sz w:val="2"/>
                <w:szCs w:val="2"/>
                <w:highlight w:val="none"/>
              </w:rPr>
            </w:pPr>
          </w:p>
        </w:tc>
        <w:tc>
          <w:tcPr>
            <w:tcW w:w="852" w:type="dxa"/>
          </w:tcPr>
          <w:p w14:paraId="7F8CCF21">
            <w:pPr>
              <w:pStyle w:val="44"/>
              <w:spacing w:before="10"/>
              <w:jc w:val="left"/>
              <w:rPr>
                <w:rFonts w:hint="eastAsia" w:ascii="微软雅黑"/>
                <w:b/>
                <w:color w:val="auto"/>
                <w:sz w:val="13"/>
                <w:highlight w:val="none"/>
              </w:rPr>
            </w:pPr>
          </w:p>
          <w:p w14:paraId="57F315D4">
            <w:pPr>
              <w:pStyle w:val="44"/>
              <w:spacing w:before="1" w:line="255" w:lineRule="exact"/>
              <w:ind w:left="30" w:right="22"/>
              <w:rPr>
                <w:rFonts w:hint="eastAsia"/>
                <w:color w:val="auto"/>
                <w:sz w:val="21"/>
                <w:highlight w:val="none"/>
              </w:rPr>
            </w:pPr>
            <w:r>
              <w:rPr>
                <w:rFonts w:ascii="Times New Roman" w:eastAsia="Times New Roman"/>
                <w:color w:val="auto"/>
                <w:sz w:val="21"/>
                <w:highlight w:val="none"/>
              </w:rPr>
              <w:t xml:space="preserve">2740 </w:t>
            </w:r>
            <w:r>
              <w:rPr>
                <w:color w:val="auto"/>
                <w:sz w:val="21"/>
                <w:highlight w:val="none"/>
              </w:rPr>
              <w:t>中</w:t>
            </w:r>
          </w:p>
          <w:p w14:paraId="23995523">
            <w:pPr>
              <w:pStyle w:val="44"/>
              <w:spacing w:before="8" w:line="213" w:lineRule="auto"/>
              <w:ind w:left="109" w:right="96"/>
              <w:rPr>
                <w:rFonts w:hint="eastAsia"/>
                <w:color w:val="auto"/>
                <w:sz w:val="21"/>
                <w:highlight w:val="none"/>
              </w:rPr>
            </w:pPr>
            <w:r>
              <w:rPr>
                <w:color w:val="auto"/>
                <w:sz w:val="21"/>
                <w:highlight w:val="none"/>
              </w:rPr>
              <w:t>成药生产</w:t>
            </w:r>
          </w:p>
        </w:tc>
        <w:tc>
          <w:tcPr>
            <w:tcW w:w="850" w:type="dxa"/>
          </w:tcPr>
          <w:p w14:paraId="4C63E180">
            <w:pPr>
              <w:pStyle w:val="44"/>
              <w:spacing w:before="10"/>
              <w:jc w:val="left"/>
              <w:rPr>
                <w:rFonts w:hint="eastAsia" w:ascii="微软雅黑"/>
                <w:b/>
                <w:color w:val="auto"/>
                <w:sz w:val="13"/>
                <w:highlight w:val="none"/>
              </w:rPr>
            </w:pPr>
          </w:p>
          <w:p w14:paraId="2ECED7C6">
            <w:pPr>
              <w:pStyle w:val="44"/>
              <w:spacing w:before="1" w:line="255" w:lineRule="exact"/>
              <w:ind w:left="63" w:right="52"/>
              <w:rPr>
                <w:rFonts w:hint="eastAsia"/>
                <w:color w:val="auto"/>
                <w:sz w:val="21"/>
                <w:highlight w:val="none"/>
              </w:rPr>
            </w:pPr>
            <w:r>
              <w:rPr>
                <w:rFonts w:ascii="Times New Roman" w:eastAsia="Times New Roman"/>
                <w:color w:val="auto"/>
                <w:sz w:val="21"/>
                <w:highlight w:val="none"/>
              </w:rPr>
              <w:t xml:space="preserve">2740 </w:t>
            </w:r>
            <w:r>
              <w:rPr>
                <w:color w:val="auto"/>
                <w:sz w:val="21"/>
                <w:highlight w:val="none"/>
              </w:rPr>
              <w:t>中</w:t>
            </w:r>
          </w:p>
          <w:p w14:paraId="50388C76">
            <w:pPr>
              <w:pStyle w:val="44"/>
              <w:spacing w:before="8" w:line="213" w:lineRule="auto"/>
              <w:ind w:left="107" w:right="98"/>
              <w:rPr>
                <w:rFonts w:hint="eastAsia"/>
                <w:color w:val="auto"/>
                <w:sz w:val="21"/>
                <w:highlight w:val="none"/>
              </w:rPr>
            </w:pPr>
            <w:r>
              <w:rPr>
                <w:color w:val="auto"/>
                <w:sz w:val="21"/>
                <w:highlight w:val="none"/>
              </w:rPr>
              <w:t>成药生产</w:t>
            </w:r>
          </w:p>
        </w:tc>
        <w:tc>
          <w:tcPr>
            <w:tcW w:w="715" w:type="dxa"/>
          </w:tcPr>
          <w:p w14:paraId="24717A4A">
            <w:pPr>
              <w:pStyle w:val="44"/>
              <w:spacing w:before="6"/>
              <w:jc w:val="left"/>
              <w:rPr>
                <w:rFonts w:hint="eastAsia" w:ascii="微软雅黑"/>
                <w:b/>
                <w:color w:val="auto"/>
                <w:sz w:val="21"/>
                <w:highlight w:val="none"/>
              </w:rPr>
            </w:pPr>
          </w:p>
          <w:p w14:paraId="306D202E">
            <w:pPr>
              <w:pStyle w:val="44"/>
              <w:spacing w:line="213" w:lineRule="auto"/>
              <w:ind w:left="40" w:right="30"/>
              <w:jc w:val="left"/>
              <w:rPr>
                <w:rFonts w:hint="eastAsia"/>
                <w:color w:val="auto"/>
                <w:sz w:val="21"/>
                <w:highlight w:val="none"/>
              </w:rPr>
            </w:pPr>
            <w:r>
              <w:rPr>
                <w:color w:val="auto"/>
                <w:sz w:val="21"/>
                <w:highlight w:val="none"/>
              </w:rPr>
              <w:t>规划发展产业</w:t>
            </w:r>
          </w:p>
        </w:tc>
        <w:tc>
          <w:tcPr>
            <w:tcW w:w="3831" w:type="dxa"/>
          </w:tcPr>
          <w:p w14:paraId="6578607F">
            <w:pPr>
              <w:pStyle w:val="44"/>
              <w:numPr>
                <w:ilvl w:val="0"/>
                <w:numId w:val="14"/>
              </w:numPr>
              <w:tabs>
                <w:tab w:val="left" w:pos="186"/>
              </w:tabs>
              <w:spacing w:before="33" w:line="213" w:lineRule="auto"/>
              <w:ind w:right="60" w:firstLine="0"/>
              <w:jc w:val="left"/>
              <w:rPr>
                <w:rFonts w:hint="eastAsia"/>
                <w:color w:val="auto"/>
                <w:sz w:val="21"/>
                <w:highlight w:val="none"/>
                <w:lang w:eastAsia="zh-CN"/>
              </w:rPr>
            </w:pPr>
            <w:r>
              <w:rPr>
                <w:color w:val="auto"/>
                <w:spacing w:val="-4"/>
                <w:sz w:val="21"/>
                <w:highlight w:val="none"/>
                <w:lang w:eastAsia="zh-CN"/>
              </w:rPr>
              <w:t>新建项目清洁生产水平不得低于清洁生</w:t>
            </w:r>
            <w:r>
              <w:rPr>
                <w:color w:val="auto"/>
                <w:spacing w:val="-3"/>
                <w:sz w:val="21"/>
                <w:highlight w:val="none"/>
                <w:lang w:eastAsia="zh-CN"/>
              </w:rPr>
              <w:t>产国内先进水平，并一律进入完成生态化改造的工业园区；</w:t>
            </w:r>
          </w:p>
          <w:p w14:paraId="561AD588">
            <w:pPr>
              <w:pStyle w:val="44"/>
              <w:numPr>
                <w:ilvl w:val="0"/>
                <w:numId w:val="14"/>
              </w:numPr>
              <w:tabs>
                <w:tab w:val="left" w:pos="186"/>
              </w:tabs>
              <w:spacing w:before="2" w:line="213" w:lineRule="auto"/>
              <w:ind w:right="60" w:firstLine="0"/>
              <w:jc w:val="left"/>
              <w:rPr>
                <w:rFonts w:hint="eastAsia"/>
                <w:color w:val="auto"/>
                <w:sz w:val="21"/>
                <w:highlight w:val="none"/>
                <w:lang w:eastAsia="zh-CN"/>
              </w:rPr>
            </w:pPr>
            <w:r>
              <w:rPr>
                <w:color w:val="auto"/>
                <w:spacing w:val="-4"/>
                <w:sz w:val="21"/>
                <w:highlight w:val="none"/>
                <w:lang w:eastAsia="zh-CN"/>
              </w:rPr>
              <w:t>新建项目“三废”排放标准要严于国家</w:t>
            </w:r>
            <w:r>
              <w:rPr>
                <w:color w:val="auto"/>
                <w:spacing w:val="-1"/>
                <w:sz w:val="21"/>
                <w:highlight w:val="none"/>
                <w:lang w:eastAsia="zh-CN"/>
              </w:rPr>
              <w:t>排放标准</w:t>
            </w:r>
          </w:p>
        </w:tc>
        <w:tc>
          <w:tcPr>
            <w:tcW w:w="1659" w:type="dxa"/>
          </w:tcPr>
          <w:p w14:paraId="5E7EA3BD">
            <w:pPr>
              <w:pStyle w:val="44"/>
              <w:spacing w:before="6"/>
              <w:jc w:val="left"/>
              <w:rPr>
                <w:rFonts w:hint="eastAsia" w:ascii="微软雅黑"/>
                <w:b/>
                <w:color w:val="auto"/>
                <w:sz w:val="21"/>
                <w:highlight w:val="none"/>
                <w:lang w:eastAsia="zh-CN"/>
              </w:rPr>
            </w:pPr>
          </w:p>
          <w:p w14:paraId="3B5C61A0">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29250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416" w:type="dxa"/>
          </w:tcPr>
          <w:p w14:paraId="1E73D51C">
            <w:pPr>
              <w:pStyle w:val="44"/>
              <w:spacing w:before="7"/>
              <w:jc w:val="left"/>
              <w:rPr>
                <w:rFonts w:hint="eastAsia" w:ascii="微软雅黑"/>
                <w:b/>
                <w:color w:val="auto"/>
                <w:sz w:val="27"/>
                <w:highlight w:val="none"/>
                <w:lang w:eastAsia="zh-CN"/>
              </w:rPr>
            </w:pPr>
          </w:p>
          <w:p w14:paraId="5CC35808">
            <w:pPr>
              <w:pStyle w:val="44"/>
              <w:ind w:left="102"/>
              <w:jc w:val="left"/>
              <w:rPr>
                <w:rFonts w:hint="eastAsia" w:ascii="Times New Roman"/>
                <w:color w:val="auto"/>
                <w:sz w:val="21"/>
                <w:highlight w:val="none"/>
              </w:rPr>
            </w:pPr>
            <w:r>
              <w:rPr>
                <w:rFonts w:ascii="Times New Roman"/>
                <w:color w:val="auto"/>
                <w:sz w:val="21"/>
                <w:highlight w:val="none"/>
              </w:rPr>
              <w:t>25</w:t>
            </w:r>
          </w:p>
        </w:tc>
        <w:tc>
          <w:tcPr>
            <w:tcW w:w="708" w:type="dxa"/>
            <w:vMerge w:val="continue"/>
            <w:tcBorders>
              <w:top w:val="nil"/>
            </w:tcBorders>
          </w:tcPr>
          <w:p w14:paraId="4D1501F9">
            <w:pPr>
              <w:rPr>
                <w:rFonts w:hint="eastAsia"/>
                <w:color w:val="auto"/>
                <w:sz w:val="2"/>
                <w:szCs w:val="2"/>
                <w:highlight w:val="none"/>
              </w:rPr>
            </w:pPr>
          </w:p>
        </w:tc>
        <w:tc>
          <w:tcPr>
            <w:tcW w:w="708" w:type="dxa"/>
          </w:tcPr>
          <w:p w14:paraId="39F989D8">
            <w:pPr>
              <w:pStyle w:val="44"/>
              <w:spacing w:before="33" w:line="213" w:lineRule="auto"/>
              <w:ind w:left="37" w:right="24"/>
              <w:rPr>
                <w:rFonts w:hint="eastAsia"/>
                <w:color w:val="auto"/>
                <w:sz w:val="21"/>
                <w:highlight w:val="none"/>
                <w:lang w:eastAsia="zh-CN"/>
              </w:rPr>
            </w:pPr>
            <w:r>
              <w:rPr>
                <w:rFonts w:ascii="Times New Roman" w:eastAsia="Times New Roman"/>
                <w:color w:val="auto"/>
                <w:sz w:val="21"/>
                <w:highlight w:val="none"/>
                <w:lang w:eastAsia="zh-CN"/>
              </w:rPr>
              <w:t xml:space="preserve">32 </w:t>
            </w:r>
            <w:r>
              <w:rPr>
                <w:color w:val="auto"/>
                <w:sz w:val="21"/>
                <w:highlight w:val="none"/>
                <w:lang w:eastAsia="zh-CN"/>
              </w:rPr>
              <w:t>有色金属冶炼和压延加工业</w:t>
            </w:r>
          </w:p>
        </w:tc>
        <w:tc>
          <w:tcPr>
            <w:tcW w:w="852" w:type="dxa"/>
          </w:tcPr>
          <w:p w14:paraId="3529FBE3">
            <w:pPr>
              <w:pStyle w:val="44"/>
              <w:spacing w:before="7"/>
              <w:jc w:val="left"/>
              <w:rPr>
                <w:rFonts w:hint="eastAsia" w:ascii="微软雅黑"/>
                <w:b/>
                <w:color w:val="auto"/>
                <w:sz w:val="21"/>
                <w:highlight w:val="none"/>
                <w:lang w:eastAsia="zh-CN"/>
              </w:rPr>
            </w:pPr>
          </w:p>
          <w:p w14:paraId="26B0F3D5">
            <w:pPr>
              <w:pStyle w:val="44"/>
              <w:spacing w:line="213" w:lineRule="auto"/>
              <w:ind w:left="109" w:right="22" w:hanging="80"/>
              <w:jc w:val="left"/>
              <w:rPr>
                <w:rFonts w:hint="eastAsia"/>
                <w:color w:val="auto"/>
                <w:sz w:val="21"/>
                <w:highlight w:val="none"/>
              </w:rPr>
            </w:pPr>
            <w:r>
              <w:rPr>
                <w:rFonts w:ascii="Times New Roman" w:eastAsia="Times New Roman"/>
                <w:color w:val="auto"/>
                <w:sz w:val="21"/>
                <w:highlight w:val="none"/>
              </w:rPr>
              <w:t xml:space="preserve">322 </w:t>
            </w:r>
            <w:r>
              <w:rPr>
                <w:color w:val="auto"/>
                <w:sz w:val="21"/>
                <w:highlight w:val="none"/>
              </w:rPr>
              <w:t>贵金属冶炼</w:t>
            </w:r>
          </w:p>
        </w:tc>
        <w:tc>
          <w:tcPr>
            <w:tcW w:w="850" w:type="dxa"/>
          </w:tcPr>
          <w:p w14:paraId="6D86E6FA">
            <w:pPr>
              <w:pStyle w:val="44"/>
              <w:spacing w:before="10"/>
              <w:jc w:val="left"/>
              <w:rPr>
                <w:rFonts w:hint="eastAsia" w:ascii="微软雅黑"/>
                <w:b/>
                <w:color w:val="auto"/>
                <w:sz w:val="13"/>
                <w:highlight w:val="none"/>
              </w:rPr>
            </w:pPr>
          </w:p>
          <w:p w14:paraId="6B57F24A">
            <w:pPr>
              <w:pStyle w:val="44"/>
              <w:spacing w:before="1" w:line="255" w:lineRule="exact"/>
              <w:ind w:left="83"/>
              <w:jc w:val="left"/>
              <w:rPr>
                <w:rFonts w:hint="eastAsia"/>
                <w:color w:val="auto"/>
                <w:sz w:val="21"/>
                <w:highlight w:val="none"/>
              </w:rPr>
            </w:pPr>
            <w:r>
              <w:rPr>
                <w:rFonts w:ascii="Times New Roman" w:eastAsia="Times New Roman"/>
                <w:color w:val="auto"/>
                <w:sz w:val="21"/>
                <w:highlight w:val="none"/>
              </w:rPr>
              <w:t xml:space="preserve">3263 </w:t>
            </w:r>
            <w:r>
              <w:rPr>
                <w:color w:val="auto"/>
                <w:sz w:val="21"/>
                <w:highlight w:val="none"/>
              </w:rPr>
              <w:t>贵</w:t>
            </w:r>
          </w:p>
          <w:p w14:paraId="27F6E942">
            <w:pPr>
              <w:pStyle w:val="44"/>
              <w:spacing w:before="8" w:line="213" w:lineRule="auto"/>
              <w:ind w:left="107" w:right="98"/>
              <w:jc w:val="left"/>
              <w:rPr>
                <w:rFonts w:hint="eastAsia"/>
                <w:color w:val="auto"/>
                <w:sz w:val="21"/>
                <w:highlight w:val="none"/>
              </w:rPr>
            </w:pPr>
            <w:r>
              <w:rPr>
                <w:color w:val="auto"/>
                <w:sz w:val="21"/>
                <w:highlight w:val="none"/>
              </w:rPr>
              <w:t>金属压延加工</w:t>
            </w:r>
          </w:p>
        </w:tc>
        <w:tc>
          <w:tcPr>
            <w:tcW w:w="715" w:type="dxa"/>
          </w:tcPr>
          <w:p w14:paraId="465F63DD">
            <w:pPr>
              <w:pStyle w:val="44"/>
              <w:spacing w:before="7"/>
              <w:jc w:val="left"/>
              <w:rPr>
                <w:rFonts w:hint="eastAsia" w:ascii="微软雅黑"/>
                <w:b/>
                <w:color w:val="auto"/>
                <w:sz w:val="21"/>
                <w:highlight w:val="none"/>
              </w:rPr>
            </w:pPr>
          </w:p>
          <w:p w14:paraId="5486FBC9">
            <w:pPr>
              <w:pStyle w:val="44"/>
              <w:spacing w:line="213" w:lineRule="auto"/>
              <w:ind w:left="40" w:right="30"/>
              <w:jc w:val="left"/>
              <w:rPr>
                <w:rFonts w:hint="eastAsia"/>
                <w:color w:val="auto"/>
                <w:sz w:val="21"/>
                <w:highlight w:val="none"/>
              </w:rPr>
            </w:pPr>
            <w:r>
              <w:rPr>
                <w:color w:val="auto"/>
                <w:sz w:val="21"/>
                <w:highlight w:val="none"/>
              </w:rPr>
              <w:t>规划发展产业</w:t>
            </w:r>
          </w:p>
        </w:tc>
        <w:tc>
          <w:tcPr>
            <w:tcW w:w="3831" w:type="dxa"/>
          </w:tcPr>
          <w:p w14:paraId="59763A71">
            <w:pPr>
              <w:pStyle w:val="44"/>
              <w:spacing w:before="33" w:line="213" w:lineRule="auto"/>
              <w:ind w:left="26" w:right="7"/>
              <w:jc w:val="left"/>
              <w:rPr>
                <w:rFonts w:hint="eastAsia"/>
                <w:color w:val="auto"/>
                <w:sz w:val="21"/>
                <w:highlight w:val="none"/>
                <w:lang w:eastAsia="zh-CN"/>
              </w:rPr>
            </w:pPr>
            <w:r>
              <w:rPr>
                <w:rFonts w:ascii="Times New Roman" w:eastAsia="Times New Roman"/>
                <w:color w:val="auto"/>
                <w:sz w:val="21"/>
                <w:highlight w:val="none"/>
                <w:lang w:eastAsia="zh-CN"/>
              </w:rPr>
              <w:t>1.</w:t>
            </w:r>
            <w:r>
              <w:rPr>
                <w:color w:val="auto"/>
                <w:sz w:val="21"/>
                <w:highlight w:val="none"/>
                <w:lang w:eastAsia="zh-CN"/>
              </w:rPr>
              <w:t>新建项目清洁生产水平不得低于清洁生产国内先进水平，并一律进入完成生态化改造的工业园区；</w:t>
            </w:r>
          </w:p>
          <w:p w14:paraId="27ACD486">
            <w:pPr>
              <w:pStyle w:val="44"/>
              <w:spacing w:before="2" w:line="213" w:lineRule="auto"/>
              <w:ind w:left="26" w:right="86"/>
              <w:jc w:val="left"/>
              <w:rPr>
                <w:rFonts w:hint="eastAsia"/>
                <w:color w:val="auto"/>
                <w:sz w:val="21"/>
                <w:highlight w:val="none"/>
                <w:lang w:eastAsia="zh-CN"/>
              </w:rPr>
            </w:pPr>
            <w:r>
              <w:rPr>
                <w:rFonts w:ascii="Times New Roman" w:hAnsi="Times New Roman" w:eastAsia="Times New Roman"/>
                <w:color w:val="auto"/>
                <w:sz w:val="21"/>
                <w:highlight w:val="none"/>
                <w:lang w:eastAsia="zh-CN"/>
              </w:rPr>
              <w:t>3.</w:t>
            </w:r>
            <w:r>
              <w:rPr>
                <w:color w:val="auto"/>
                <w:sz w:val="21"/>
                <w:highlight w:val="none"/>
                <w:lang w:eastAsia="zh-CN"/>
              </w:rPr>
              <w:t>新建项目</w:t>
            </w:r>
            <w:r>
              <w:rPr>
                <w:rFonts w:ascii="Times New Roman" w:hAnsi="Times New Roman" w:eastAsia="Times New Roman"/>
                <w:color w:val="auto"/>
                <w:sz w:val="21"/>
                <w:highlight w:val="none"/>
                <w:lang w:eastAsia="zh-CN"/>
              </w:rPr>
              <w:t>“</w:t>
            </w:r>
            <w:r>
              <w:rPr>
                <w:color w:val="auto"/>
                <w:sz w:val="21"/>
                <w:highlight w:val="none"/>
                <w:lang w:eastAsia="zh-CN"/>
              </w:rPr>
              <w:t>三废</w:t>
            </w:r>
            <w:r>
              <w:rPr>
                <w:rFonts w:ascii="Times New Roman" w:hAnsi="Times New Roman" w:eastAsia="Times New Roman"/>
                <w:color w:val="auto"/>
                <w:sz w:val="21"/>
                <w:highlight w:val="none"/>
                <w:lang w:eastAsia="zh-CN"/>
              </w:rPr>
              <w:t>”</w:t>
            </w:r>
            <w:r>
              <w:rPr>
                <w:color w:val="auto"/>
                <w:sz w:val="21"/>
                <w:highlight w:val="none"/>
                <w:lang w:eastAsia="zh-CN"/>
              </w:rPr>
              <w:t>排放标准要严于国家排放标准</w:t>
            </w:r>
          </w:p>
        </w:tc>
        <w:tc>
          <w:tcPr>
            <w:tcW w:w="1659" w:type="dxa"/>
          </w:tcPr>
          <w:p w14:paraId="2C61D97F">
            <w:pPr>
              <w:pStyle w:val="44"/>
              <w:spacing w:before="7"/>
              <w:jc w:val="left"/>
              <w:rPr>
                <w:rFonts w:hint="eastAsia" w:ascii="微软雅黑"/>
                <w:b/>
                <w:color w:val="auto"/>
                <w:sz w:val="21"/>
                <w:highlight w:val="none"/>
                <w:lang w:eastAsia="zh-CN"/>
              </w:rPr>
            </w:pPr>
          </w:p>
          <w:p w14:paraId="40E1952F">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30421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trPr>
        <w:tc>
          <w:tcPr>
            <w:tcW w:w="416" w:type="dxa"/>
          </w:tcPr>
          <w:p w14:paraId="0B9D3C7A">
            <w:pPr>
              <w:pStyle w:val="44"/>
              <w:spacing w:before="15"/>
              <w:jc w:val="left"/>
              <w:rPr>
                <w:rFonts w:hint="eastAsia" w:ascii="微软雅黑"/>
                <w:b/>
                <w:color w:val="auto"/>
                <w:sz w:val="20"/>
                <w:highlight w:val="none"/>
                <w:lang w:eastAsia="zh-CN"/>
              </w:rPr>
            </w:pPr>
          </w:p>
          <w:p w14:paraId="2A25D309">
            <w:pPr>
              <w:pStyle w:val="44"/>
              <w:spacing w:before="1"/>
              <w:ind w:left="102"/>
              <w:jc w:val="left"/>
              <w:rPr>
                <w:rFonts w:hint="eastAsia" w:ascii="Times New Roman"/>
                <w:color w:val="auto"/>
                <w:sz w:val="21"/>
                <w:highlight w:val="none"/>
              </w:rPr>
            </w:pPr>
            <w:r>
              <w:rPr>
                <w:rFonts w:ascii="Times New Roman"/>
                <w:color w:val="auto"/>
                <w:sz w:val="21"/>
                <w:highlight w:val="none"/>
              </w:rPr>
              <w:t>26</w:t>
            </w:r>
          </w:p>
        </w:tc>
        <w:tc>
          <w:tcPr>
            <w:tcW w:w="708" w:type="dxa"/>
            <w:vMerge w:val="continue"/>
            <w:tcBorders>
              <w:top w:val="nil"/>
            </w:tcBorders>
          </w:tcPr>
          <w:p w14:paraId="081DDB63">
            <w:pPr>
              <w:rPr>
                <w:rFonts w:hint="eastAsia"/>
                <w:color w:val="auto"/>
                <w:sz w:val="2"/>
                <w:szCs w:val="2"/>
                <w:highlight w:val="none"/>
              </w:rPr>
            </w:pPr>
          </w:p>
        </w:tc>
        <w:tc>
          <w:tcPr>
            <w:tcW w:w="708" w:type="dxa"/>
          </w:tcPr>
          <w:p w14:paraId="7C7613A4">
            <w:pPr>
              <w:pStyle w:val="44"/>
              <w:spacing w:before="153" w:line="213" w:lineRule="auto"/>
              <w:ind w:left="37" w:right="24"/>
              <w:rPr>
                <w:rFonts w:hint="eastAsia"/>
                <w:color w:val="auto"/>
                <w:sz w:val="21"/>
                <w:highlight w:val="none"/>
              </w:rPr>
            </w:pPr>
            <w:r>
              <w:rPr>
                <w:rFonts w:ascii="Times New Roman" w:eastAsia="Times New Roman"/>
                <w:color w:val="auto"/>
                <w:sz w:val="21"/>
                <w:highlight w:val="none"/>
              </w:rPr>
              <w:t xml:space="preserve">33 </w:t>
            </w:r>
            <w:r>
              <w:rPr>
                <w:color w:val="auto"/>
                <w:sz w:val="21"/>
                <w:highlight w:val="none"/>
              </w:rPr>
              <w:t>金属制造业</w:t>
            </w:r>
          </w:p>
        </w:tc>
        <w:tc>
          <w:tcPr>
            <w:tcW w:w="852" w:type="dxa"/>
          </w:tcPr>
          <w:p w14:paraId="58DC8100">
            <w:pPr>
              <w:pStyle w:val="44"/>
              <w:spacing w:before="33" w:line="213" w:lineRule="auto"/>
              <w:ind w:left="30" w:right="22"/>
              <w:rPr>
                <w:rFonts w:hint="eastAsia"/>
                <w:color w:val="auto"/>
                <w:sz w:val="21"/>
                <w:highlight w:val="none"/>
              </w:rPr>
            </w:pPr>
            <w:r>
              <w:rPr>
                <w:rFonts w:ascii="Times New Roman" w:eastAsia="Times New Roman"/>
                <w:color w:val="auto"/>
                <w:sz w:val="21"/>
                <w:highlight w:val="none"/>
              </w:rPr>
              <w:t xml:space="preserve">331 </w:t>
            </w:r>
            <w:r>
              <w:rPr>
                <w:color w:val="auto"/>
                <w:sz w:val="21"/>
                <w:highlight w:val="none"/>
              </w:rPr>
              <w:t>结构性金属制品制造</w:t>
            </w:r>
          </w:p>
        </w:tc>
        <w:tc>
          <w:tcPr>
            <w:tcW w:w="850" w:type="dxa"/>
          </w:tcPr>
          <w:p w14:paraId="1E4DB1BF">
            <w:pPr>
              <w:pStyle w:val="44"/>
              <w:spacing w:before="130" w:line="255" w:lineRule="exact"/>
              <w:ind w:left="62" w:right="53"/>
              <w:rPr>
                <w:rFonts w:hint="eastAsia"/>
                <w:color w:val="auto"/>
                <w:sz w:val="21"/>
                <w:highlight w:val="none"/>
              </w:rPr>
            </w:pPr>
            <w:r>
              <w:rPr>
                <w:rFonts w:ascii="Times New Roman" w:eastAsia="Times New Roman"/>
                <w:color w:val="auto"/>
                <w:sz w:val="21"/>
                <w:highlight w:val="none"/>
              </w:rPr>
              <w:t xml:space="preserve">3311 </w:t>
            </w:r>
            <w:r>
              <w:rPr>
                <w:color w:val="auto"/>
                <w:sz w:val="21"/>
                <w:highlight w:val="none"/>
              </w:rPr>
              <w:t>金</w:t>
            </w:r>
          </w:p>
          <w:p w14:paraId="25A8B093">
            <w:pPr>
              <w:pStyle w:val="44"/>
              <w:spacing w:before="9" w:line="213" w:lineRule="auto"/>
              <w:ind w:left="107" w:right="98"/>
              <w:rPr>
                <w:rFonts w:hint="eastAsia"/>
                <w:color w:val="auto"/>
                <w:sz w:val="21"/>
                <w:highlight w:val="none"/>
              </w:rPr>
            </w:pPr>
            <w:r>
              <w:rPr>
                <w:color w:val="auto"/>
                <w:sz w:val="21"/>
                <w:highlight w:val="none"/>
              </w:rPr>
              <w:t>属结构制造</w:t>
            </w:r>
          </w:p>
        </w:tc>
        <w:tc>
          <w:tcPr>
            <w:tcW w:w="715" w:type="dxa"/>
          </w:tcPr>
          <w:p w14:paraId="538AB61E">
            <w:pPr>
              <w:pStyle w:val="44"/>
              <w:spacing w:before="15"/>
              <w:jc w:val="left"/>
              <w:rPr>
                <w:rFonts w:hint="eastAsia" w:ascii="微软雅黑"/>
                <w:b/>
                <w:color w:val="auto"/>
                <w:sz w:val="14"/>
                <w:highlight w:val="none"/>
              </w:rPr>
            </w:pPr>
          </w:p>
          <w:p w14:paraId="0B797804">
            <w:pPr>
              <w:pStyle w:val="44"/>
              <w:spacing w:line="213" w:lineRule="auto"/>
              <w:ind w:left="40" w:right="30"/>
              <w:jc w:val="left"/>
              <w:rPr>
                <w:rFonts w:hint="eastAsia"/>
                <w:color w:val="auto"/>
                <w:sz w:val="21"/>
                <w:highlight w:val="none"/>
              </w:rPr>
            </w:pPr>
            <w:r>
              <w:rPr>
                <w:color w:val="auto"/>
                <w:sz w:val="21"/>
                <w:highlight w:val="none"/>
              </w:rPr>
              <w:t>现有一般产业</w:t>
            </w:r>
          </w:p>
        </w:tc>
        <w:tc>
          <w:tcPr>
            <w:tcW w:w="3831" w:type="dxa"/>
          </w:tcPr>
          <w:p w14:paraId="4DFDE022">
            <w:pPr>
              <w:pStyle w:val="44"/>
              <w:spacing w:before="1"/>
              <w:jc w:val="left"/>
              <w:rPr>
                <w:rFonts w:hint="eastAsia" w:ascii="微软雅黑"/>
                <w:b/>
                <w:color w:val="auto"/>
                <w:sz w:val="20"/>
                <w:highlight w:val="none"/>
                <w:lang w:eastAsia="zh-CN"/>
              </w:rPr>
            </w:pPr>
          </w:p>
          <w:p w14:paraId="1F8C5869">
            <w:pPr>
              <w:pStyle w:val="44"/>
              <w:spacing w:before="1"/>
              <w:ind w:left="26"/>
              <w:jc w:val="left"/>
              <w:rPr>
                <w:rFonts w:hint="eastAsia"/>
                <w:color w:val="auto"/>
                <w:sz w:val="21"/>
                <w:highlight w:val="none"/>
                <w:lang w:eastAsia="zh-CN"/>
              </w:rPr>
            </w:pPr>
            <w:r>
              <w:rPr>
                <w:color w:val="auto"/>
                <w:sz w:val="21"/>
                <w:highlight w:val="none"/>
                <w:lang w:eastAsia="zh-CN"/>
              </w:rPr>
              <w:t>限制发展非数控金属切削机床制造项目</w:t>
            </w:r>
          </w:p>
        </w:tc>
        <w:tc>
          <w:tcPr>
            <w:tcW w:w="1659" w:type="dxa"/>
          </w:tcPr>
          <w:p w14:paraId="662888BD">
            <w:pPr>
              <w:pStyle w:val="44"/>
              <w:spacing w:before="15"/>
              <w:jc w:val="left"/>
              <w:rPr>
                <w:rFonts w:hint="eastAsia" w:ascii="微软雅黑"/>
                <w:b/>
                <w:color w:val="auto"/>
                <w:sz w:val="14"/>
                <w:highlight w:val="none"/>
                <w:lang w:eastAsia="zh-CN"/>
              </w:rPr>
            </w:pPr>
          </w:p>
          <w:p w14:paraId="3C129746">
            <w:pPr>
              <w:pStyle w:val="44"/>
              <w:spacing w:line="213" w:lineRule="auto"/>
              <w:ind w:left="511" w:right="82" w:hanging="421"/>
              <w:jc w:val="left"/>
              <w:rPr>
                <w:rFonts w:hint="eastAsia"/>
                <w:color w:val="auto"/>
                <w:sz w:val="21"/>
                <w:highlight w:val="none"/>
                <w:lang w:eastAsia="zh-CN"/>
              </w:rPr>
            </w:pPr>
            <w:r>
              <w:rPr>
                <w:color w:val="auto"/>
                <w:sz w:val="21"/>
                <w:highlight w:val="none"/>
                <w:lang w:eastAsia="zh-CN"/>
              </w:rPr>
              <w:t>《指导目录》中限制类</w:t>
            </w:r>
          </w:p>
        </w:tc>
      </w:tr>
      <w:tr w14:paraId="6615B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9739" w:type="dxa"/>
            <w:gridSpan w:val="8"/>
          </w:tcPr>
          <w:p w14:paraId="73BAF353">
            <w:pPr>
              <w:pStyle w:val="44"/>
              <w:spacing w:before="10" w:line="264" w:lineRule="exact"/>
              <w:ind w:left="3648" w:right="3637"/>
              <w:rPr>
                <w:rFonts w:hint="eastAsia"/>
                <w:color w:val="auto"/>
                <w:sz w:val="21"/>
                <w:highlight w:val="none"/>
              </w:rPr>
            </w:pPr>
            <w:r>
              <w:rPr>
                <w:color w:val="auto"/>
                <w:sz w:val="21"/>
                <w:highlight w:val="none"/>
              </w:rPr>
              <w:t>禁止类</w:t>
            </w:r>
          </w:p>
        </w:tc>
      </w:tr>
      <w:tr w14:paraId="1A224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7" w:hRule="atLeast"/>
        </w:trPr>
        <w:tc>
          <w:tcPr>
            <w:tcW w:w="9739" w:type="dxa"/>
            <w:gridSpan w:val="8"/>
          </w:tcPr>
          <w:p w14:paraId="6A7E2BEC">
            <w:pPr>
              <w:pStyle w:val="44"/>
              <w:spacing w:before="33" w:line="213" w:lineRule="auto"/>
              <w:ind w:left="28" w:right="137"/>
              <w:jc w:val="left"/>
              <w:rPr>
                <w:rFonts w:hint="eastAsia"/>
                <w:color w:val="auto"/>
                <w:sz w:val="21"/>
                <w:highlight w:val="none"/>
                <w:lang w:eastAsia="zh-CN"/>
              </w:rPr>
            </w:pPr>
            <w:r>
              <w:rPr>
                <w:rFonts w:hint="eastAsia" w:ascii="Times New Roman" w:eastAsia="Times New Roman"/>
                <w:color w:val="auto"/>
                <w:sz w:val="21"/>
                <w:highlight w:val="none"/>
                <w:lang w:eastAsia="zh-CN"/>
              </w:rPr>
              <w:t>1.</w:t>
            </w:r>
            <w:r>
              <w:rPr>
                <w:color w:val="auto"/>
                <w:sz w:val="21"/>
                <w:highlight w:val="none"/>
                <w:lang w:eastAsia="zh-CN"/>
              </w:rPr>
              <w:t>禁止建设国家现行产业政策明令限制、禁止或淘汰的项目；禁止建设产能严重过剩行业项目；禁止建设落后生产工艺或设备、落后生产能力项目；禁止建设不符合国家相关行业准入条件的项目。</w:t>
            </w:r>
          </w:p>
          <w:p w14:paraId="0567FAEB">
            <w:pPr>
              <w:pStyle w:val="44"/>
              <w:spacing w:line="233" w:lineRule="exact"/>
              <w:ind w:left="28"/>
              <w:jc w:val="left"/>
              <w:rPr>
                <w:rFonts w:hint="eastAsia"/>
                <w:color w:val="auto"/>
                <w:sz w:val="21"/>
                <w:highlight w:val="none"/>
                <w:lang w:eastAsia="zh-CN"/>
              </w:rPr>
            </w:pPr>
            <w:r>
              <w:rPr>
                <w:rFonts w:hint="eastAsia" w:ascii="Times New Roman" w:hAnsi="Times New Roman" w:eastAsia="Times New Roman"/>
                <w:color w:val="auto"/>
                <w:sz w:val="21"/>
                <w:highlight w:val="none"/>
                <w:lang w:eastAsia="zh-CN"/>
              </w:rPr>
              <w:t>2.</w:t>
            </w:r>
            <w:r>
              <w:rPr>
                <w:color w:val="auto"/>
                <w:sz w:val="21"/>
                <w:highlight w:val="none"/>
                <w:lang w:eastAsia="zh-CN"/>
              </w:rPr>
              <w:t>禁止建设未通过自治区“两高”审查会审查的高能耗、高污染项目。</w:t>
            </w:r>
          </w:p>
          <w:p w14:paraId="0111B85B">
            <w:pPr>
              <w:pStyle w:val="44"/>
              <w:spacing w:line="240" w:lineRule="exact"/>
              <w:ind w:left="28"/>
              <w:jc w:val="left"/>
              <w:rPr>
                <w:rFonts w:hint="eastAsia"/>
                <w:color w:val="auto"/>
                <w:sz w:val="21"/>
                <w:highlight w:val="none"/>
                <w:lang w:eastAsia="zh-CN"/>
              </w:rPr>
            </w:pPr>
            <w:r>
              <w:rPr>
                <w:rFonts w:hint="eastAsia" w:ascii="Times New Roman" w:eastAsia="Times New Roman"/>
                <w:color w:val="auto"/>
                <w:sz w:val="21"/>
                <w:highlight w:val="none"/>
                <w:lang w:eastAsia="zh-CN"/>
              </w:rPr>
              <w:t>3.</w:t>
            </w:r>
            <w:r>
              <w:rPr>
                <w:color w:val="auto"/>
                <w:sz w:val="21"/>
                <w:highlight w:val="none"/>
                <w:lang w:eastAsia="zh-CN"/>
              </w:rPr>
              <w:t>禁止建设废水经预处理达不到污水处理厂接管标准的项目。</w:t>
            </w:r>
          </w:p>
          <w:p w14:paraId="1FDA2A44">
            <w:pPr>
              <w:pStyle w:val="44"/>
              <w:spacing w:line="240" w:lineRule="exact"/>
              <w:ind w:left="28"/>
              <w:jc w:val="left"/>
              <w:rPr>
                <w:rFonts w:hint="eastAsia"/>
                <w:color w:val="auto"/>
                <w:sz w:val="21"/>
                <w:highlight w:val="none"/>
                <w:lang w:eastAsia="zh-CN"/>
              </w:rPr>
            </w:pPr>
            <w:r>
              <w:rPr>
                <w:rFonts w:hint="eastAsia" w:ascii="Times New Roman" w:eastAsia="Times New Roman"/>
                <w:color w:val="auto"/>
                <w:sz w:val="21"/>
                <w:highlight w:val="none"/>
                <w:lang w:eastAsia="zh-CN"/>
              </w:rPr>
              <w:t>4.</w:t>
            </w:r>
            <w:r>
              <w:rPr>
                <w:color w:val="auto"/>
                <w:sz w:val="21"/>
                <w:highlight w:val="none"/>
                <w:lang w:eastAsia="zh-CN"/>
              </w:rPr>
              <w:t>禁止建设在采取风险防范措施后仍存在重大环境风险的项目。</w:t>
            </w:r>
          </w:p>
          <w:p w14:paraId="0F9436D1">
            <w:pPr>
              <w:pStyle w:val="44"/>
              <w:spacing w:line="240" w:lineRule="exact"/>
              <w:ind w:left="28"/>
              <w:jc w:val="left"/>
              <w:rPr>
                <w:rFonts w:hint="eastAsia"/>
                <w:color w:val="auto"/>
                <w:sz w:val="21"/>
                <w:highlight w:val="none"/>
                <w:lang w:eastAsia="zh-CN"/>
              </w:rPr>
            </w:pPr>
            <w:r>
              <w:rPr>
                <w:rFonts w:hint="eastAsia" w:ascii="Times New Roman" w:eastAsia="Times New Roman"/>
                <w:color w:val="auto"/>
                <w:sz w:val="21"/>
                <w:highlight w:val="none"/>
                <w:lang w:eastAsia="zh-CN"/>
              </w:rPr>
              <w:t>5.</w:t>
            </w:r>
            <w:r>
              <w:rPr>
                <w:color w:val="auto"/>
                <w:sz w:val="21"/>
                <w:highlight w:val="none"/>
                <w:lang w:eastAsia="zh-CN"/>
              </w:rPr>
              <w:t>禁止发展废气、废水、废渣排放量大的化工、有色金属原矿冶炼、湿法冶金等行业。</w:t>
            </w:r>
          </w:p>
          <w:p w14:paraId="4407B32D">
            <w:pPr>
              <w:pStyle w:val="44"/>
              <w:spacing w:line="240" w:lineRule="exact"/>
              <w:ind w:left="28"/>
              <w:jc w:val="left"/>
              <w:rPr>
                <w:rFonts w:hint="eastAsia"/>
                <w:color w:val="auto"/>
                <w:sz w:val="21"/>
                <w:highlight w:val="none"/>
                <w:lang w:eastAsia="zh-CN"/>
              </w:rPr>
            </w:pPr>
            <w:r>
              <w:rPr>
                <w:rFonts w:hint="eastAsia" w:ascii="Times New Roman" w:eastAsia="Times New Roman"/>
                <w:color w:val="auto"/>
                <w:sz w:val="21"/>
                <w:highlight w:val="none"/>
                <w:lang w:eastAsia="zh-CN"/>
              </w:rPr>
              <w:t>6.</w:t>
            </w:r>
            <w:r>
              <w:rPr>
                <w:color w:val="auto"/>
                <w:sz w:val="21"/>
                <w:highlight w:val="none"/>
                <w:lang w:eastAsia="zh-CN"/>
              </w:rPr>
              <w:t>禁止建设大量储存有毒、有害、易燃、易爆等化学危险品的行业。</w:t>
            </w:r>
          </w:p>
          <w:p w14:paraId="76718CDD">
            <w:pPr>
              <w:pStyle w:val="44"/>
              <w:spacing w:line="240" w:lineRule="exact"/>
              <w:ind w:left="28"/>
              <w:jc w:val="left"/>
              <w:rPr>
                <w:rFonts w:hint="eastAsia"/>
                <w:color w:val="auto"/>
                <w:sz w:val="21"/>
                <w:highlight w:val="none"/>
                <w:lang w:eastAsia="zh-CN"/>
              </w:rPr>
            </w:pPr>
            <w:r>
              <w:rPr>
                <w:rFonts w:hint="eastAsia" w:ascii="Times New Roman" w:eastAsia="Times New Roman"/>
                <w:color w:val="auto"/>
                <w:sz w:val="21"/>
                <w:highlight w:val="none"/>
                <w:lang w:eastAsia="zh-CN"/>
              </w:rPr>
              <w:t>7.</w:t>
            </w:r>
            <w:r>
              <w:rPr>
                <w:color w:val="auto"/>
                <w:sz w:val="21"/>
                <w:highlight w:val="none"/>
                <w:lang w:eastAsia="zh-CN"/>
              </w:rPr>
              <w:t>禁止清洁生产水平低的企业入园。</w:t>
            </w:r>
          </w:p>
          <w:p w14:paraId="7D35F5C3">
            <w:pPr>
              <w:pStyle w:val="44"/>
              <w:spacing w:line="252" w:lineRule="exact"/>
              <w:ind w:left="28"/>
              <w:jc w:val="left"/>
              <w:rPr>
                <w:rFonts w:hint="eastAsia"/>
                <w:color w:val="auto"/>
                <w:sz w:val="21"/>
                <w:highlight w:val="none"/>
                <w:lang w:eastAsia="zh-CN"/>
              </w:rPr>
            </w:pPr>
            <w:r>
              <w:rPr>
                <w:rFonts w:hint="eastAsia" w:ascii="Times New Roman" w:eastAsia="Times New Roman"/>
                <w:color w:val="auto"/>
                <w:sz w:val="21"/>
                <w:highlight w:val="none"/>
                <w:lang w:eastAsia="zh-CN"/>
              </w:rPr>
              <w:t>8.</w:t>
            </w:r>
            <w:r>
              <w:rPr>
                <w:color w:val="auto"/>
                <w:sz w:val="21"/>
                <w:highlight w:val="none"/>
                <w:lang w:eastAsia="zh-CN"/>
              </w:rPr>
              <w:t>禁止发展生产事故、污染事故发生</w:t>
            </w:r>
            <w:r>
              <w:rPr>
                <w:rFonts w:hint="eastAsia"/>
                <w:color w:val="auto"/>
                <w:sz w:val="21"/>
                <w:highlight w:val="none"/>
                <w:lang w:eastAsia="zh-CN"/>
              </w:rPr>
              <w:t>概率</w:t>
            </w:r>
            <w:r>
              <w:rPr>
                <w:color w:val="auto"/>
                <w:sz w:val="21"/>
                <w:highlight w:val="none"/>
                <w:lang w:eastAsia="zh-CN"/>
              </w:rPr>
              <w:t>相对较高的行业。</w:t>
            </w:r>
          </w:p>
        </w:tc>
      </w:tr>
    </w:tbl>
    <w:p w14:paraId="301372FC">
      <w:pPr>
        <w:spacing w:before="56" w:line="340" w:lineRule="auto"/>
        <w:ind w:left="100" w:right="424"/>
        <w:rPr>
          <w:rFonts w:hint="eastAsia"/>
          <w:color w:val="auto"/>
          <w:sz w:val="21"/>
          <w:highlight w:val="none"/>
          <w:lang w:eastAsia="zh-CN"/>
        </w:rPr>
      </w:pPr>
      <w:r>
        <w:rPr>
          <w:color w:val="auto"/>
          <w:sz w:val="21"/>
          <w:highlight w:val="none"/>
          <w:lang w:eastAsia="zh-CN"/>
        </w:rPr>
        <w:t>注：表中《指导目录》指的是《产业结构调整指导目录（</w:t>
      </w:r>
      <w:r>
        <w:rPr>
          <w:rFonts w:ascii="Times New Roman" w:eastAsia="Times New Roman"/>
          <w:color w:val="auto"/>
          <w:sz w:val="21"/>
          <w:highlight w:val="none"/>
          <w:lang w:eastAsia="zh-CN"/>
        </w:rPr>
        <w:t xml:space="preserve">2024 </w:t>
      </w:r>
      <w:r>
        <w:rPr>
          <w:color w:val="auto"/>
          <w:sz w:val="21"/>
          <w:highlight w:val="none"/>
          <w:lang w:eastAsia="zh-CN"/>
        </w:rPr>
        <w:t>年本）</w:t>
      </w:r>
      <w:r>
        <w:rPr>
          <w:rFonts w:hint="eastAsia"/>
          <w:color w:val="auto"/>
          <w:sz w:val="21"/>
          <w:highlight w:val="none"/>
          <w:lang w:eastAsia="zh-CN"/>
        </w:rPr>
        <w:t>》《</w:t>
      </w:r>
      <w:r>
        <w:rPr>
          <w:color w:val="auto"/>
          <w:sz w:val="21"/>
          <w:highlight w:val="none"/>
          <w:lang w:eastAsia="zh-CN"/>
        </w:rPr>
        <w:t>自然资源要素支撑产业高质量发展指导目录（</w:t>
      </w:r>
      <w:r>
        <w:rPr>
          <w:rFonts w:ascii="Times New Roman" w:eastAsia="Times New Roman"/>
          <w:color w:val="auto"/>
          <w:sz w:val="21"/>
          <w:highlight w:val="none"/>
          <w:lang w:eastAsia="zh-CN"/>
        </w:rPr>
        <w:t xml:space="preserve">2024 </w:t>
      </w:r>
      <w:r>
        <w:rPr>
          <w:color w:val="auto"/>
          <w:sz w:val="21"/>
          <w:highlight w:val="none"/>
          <w:lang w:eastAsia="zh-CN"/>
        </w:rPr>
        <w:t>年本）》。</w:t>
      </w:r>
    </w:p>
    <w:p w14:paraId="6C376AB3">
      <w:pPr>
        <w:spacing w:line="340" w:lineRule="auto"/>
        <w:rPr>
          <w:rFonts w:hint="eastAsia"/>
          <w:color w:val="auto"/>
          <w:sz w:val="21"/>
          <w:highlight w:val="none"/>
          <w:lang w:eastAsia="zh-CN"/>
        </w:rPr>
        <w:sectPr>
          <w:pgSz w:w="11910" w:h="16840"/>
          <w:pgMar w:top="1418" w:right="851" w:bottom="1418" w:left="1134" w:header="0" w:footer="603" w:gutter="0"/>
          <w:pgNumType w:fmt="decimal"/>
          <w:cols w:space="720" w:num="1"/>
        </w:sectPr>
      </w:pPr>
    </w:p>
    <w:p w14:paraId="23FF8365">
      <w:pPr>
        <w:pStyle w:val="5"/>
        <w:keepNext w:val="0"/>
        <w:keepLines w:val="0"/>
        <w:spacing w:before="0" w:after="0"/>
        <w:ind w:right="298"/>
        <w:jc w:val="center"/>
        <w:rPr>
          <w:rFonts w:hint="eastAsia" w:ascii="微软雅黑" w:hAnsi="微软雅黑" w:eastAsia="微软雅黑" w:cs="微软雅黑"/>
          <w:b/>
          <w:bCs/>
          <w:color w:val="auto"/>
          <w:sz w:val="30"/>
          <w:szCs w:val="30"/>
          <w:highlight w:val="none"/>
          <w:lang w:eastAsia="zh-CN"/>
        </w:rPr>
      </w:pPr>
      <w:bookmarkStart w:id="57" w:name="_bookmark38"/>
      <w:bookmarkEnd w:id="57"/>
      <w:r>
        <w:rPr>
          <w:rFonts w:ascii="微软雅黑" w:hAnsi="微软雅黑" w:eastAsia="微软雅黑" w:cs="微软雅黑"/>
          <w:b/>
          <w:bCs/>
          <w:color w:val="auto"/>
          <w:sz w:val="30"/>
          <w:szCs w:val="30"/>
          <w:highlight w:val="none"/>
          <w:lang w:eastAsia="zh-CN"/>
        </w:rPr>
        <w:t>附表五 乡村公共服务设施、市政公用设施配置表</w:t>
      </w:r>
    </w:p>
    <w:p w14:paraId="1C607FE7">
      <w:pPr>
        <w:pStyle w:val="11"/>
        <w:spacing w:before="5" w:after="1"/>
        <w:ind w:left="0"/>
        <w:rPr>
          <w:rFonts w:hint="eastAsia" w:ascii="微软雅黑"/>
          <w:b/>
          <w:color w:val="auto"/>
          <w:sz w:val="6"/>
          <w:highlight w:val="none"/>
          <w:lang w:eastAsia="zh-CN"/>
        </w:rPr>
      </w:pP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1415"/>
        <w:gridCol w:w="3259"/>
        <w:gridCol w:w="1276"/>
        <w:gridCol w:w="3220"/>
      </w:tblGrid>
      <w:tr w14:paraId="239EA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564" w:type="dxa"/>
          </w:tcPr>
          <w:p w14:paraId="3D177BF6">
            <w:pPr>
              <w:pStyle w:val="44"/>
              <w:spacing w:before="37"/>
              <w:ind w:left="71"/>
              <w:jc w:val="left"/>
              <w:rPr>
                <w:rFonts w:hint="eastAsia" w:ascii="微软雅黑" w:eastAsia="微软雅黑"/>
                <w:b/>
                <w:color w:val="auto"/>
                <w:sz w:val="21"/>
                <w:highlight w:val="none"/>
              </w:rPr>
            </w:pPr>
            <w:r>
              <w:rPr>
                <w:rFonts w:hint="eastAsia" w:ascii="微软雅黑" w:eastAsia="微软雅黑"/>
                <w:b/>
                <w:color w:val="auto"/>
                <w:sz w:val="21"/>
                <w:highlight w:val="none"/>
              </w:rPr>
              <w:t>分类</w:t>
            </w:r>
          </w:p>
        </w:tc>
        <w:tc>
          <w:tcPr>
            <w:tcW w:w="1415" w:type="dxa"/>
          </w:tcPr>
          <w:p w14:paraId="48FB6B4D">
            <w:pPr>
              <w:pStyle w:val="44"/>
              <w:spacing w:before="37"/>
              <w:ind w:left="59" w:right="43"/>
              <w:rPr>
                <w:rFonts w:hint="eastAsia" w:ascii="微软雅黑" w:eastAsia="微软雅黑"/>
                <w:b/>
                <w:color w:val="auto"/>
                <w:sz w:val="21"/>
                <w:highlight w:val="none"/>
              </w:rPr>
            </w:pPr>
            <w:r>
              <w:rPr>
                <w:rFonts w:hint="eastAsia" w:ascii="微软雅黑" w:eastAsia="微软雅黑"/>
                <w:b/>
                <w:color w:val="auto"/>
                <w:sz w:val="21"/>
                <w:highlight w:val="none"/>
              </w:rPr>
              <w:t>设施名称</w:t>
            </w:r>
          </w:p>
        </w:tc>
        <w:tc>
          <w:tcPr>
            <w:tcW w:w="3259" w:type="dxa"/>
          </w:tcPr>
          <w:p w14:paraId="70504821">
            <w:pPr>
              <w:pStyle w:val="44"/>
              <w:spacing w:before="37"/>
              <w:ind w:left="54" w:right="36"/>
              <w:rPr>
                <w:rFonts w:hint="eastAsia" w:ascii="微软雅黑" w:eastAsia="微软雅黑"/>
                <w:b/>
                <w:color w:val="auto"/>
                <w:sz w:val="21"/>
                <w:highlight w:val="none"/>
              </w:rPr>
            </w:pPr>
            <w:r>
              <w:rPr>
                <w:rFonts w:hint="eastAsia" w:ascii="微软雅黑" w:eastAsia="微软雅黑"/>
                <w:b/>
                <w:color w:val="auto"/>
                <w:sz w:val="21"/>
                <w:highlight w:val="none"/>
              </w:rPr>
              <w:t>建设内容</w:t>
            </w:r>
          </w:p>
        </w:tc>
        <w:tc>
          <w:tcPr>
            <w:tcW w:w="1276" w:type="dxa"/>
          </w:tcPr>
          <w:p w14:paraId="52EC0E0D">
            <w:pPr>
              <w:pStyle w:val="44"/>
              <w:spacing w:line="231" w:lineRule="exact"/>
              <w:ind w:left="218"/>
              <w:jc w:val="left"/>
              <w:rPr>
                <w:rFonts w:hint="eastAsia" w:ascii="微软雅黑" w:eastAsia="微软雅黑"/>
                <w:b/>
                <w:color w:val="auto"/>
                <w:sz w:val="21"/>
                <w:highlight w:val="none"/>
              </w:rPr>
            </w:pPr>
            <w:r>
              <w:rPr>
                <w:rFonts w:hint="eastAsia" w:ascii="微软雅黑" w:eastAsia="微软雅黑"/>
                <w:b/>
                <w:color w:val="auto"/>
                <w:sz w:val="21"/>
                <w:highlight w:val="none"/>
              </w:rPr>
              <w:t>建设标准</w:t>
            </w:r>
          </w:p>
          <w:p w14:paraId="44E3F080">
            <w:pPr>
              <w:pStyle w:val="44"/>
              <w:spacing w:line="231" w:lineRule="exact"/>
              <w:ind w:left="287"/>
              <w:jc w:val="left"/>
              <w:rPr>
                <w:rFonts w:hint="eastAsia" w:ascii="微软雅黑" w:hAnsi="微软雅黑" w:eastAsia="微软雅黑"/>
                <w:b/>
                <w:color w:val="auto"/>
                <w:sz w:val="21"/>
                <w:highlight w:val="none"/>
              </w:rPr>
            </w:pPr>
            <w:r>
              <w:rPr>
                <w:rFonts w:hint="eastAsia" w:ascii="微软雅黑" w:hAnsi="微软雅黑" w:eastAsia="微软雅黑"/>
                <w:b/>
                <w:color w:val="auto"/>
                <w:w w:val="105"/>
                <w:sz w:val="21"/>
                <w:highlight w:val="none"/>
                <w:lang w:eastAsia="zh-CN"/>
              </w:rPr>
              <w:t>(</w:t>
            </w:r>
            <w:r>
              <w:rPr>
                <w:rFonts w:ascii="Times New Roman" w:hAnsi="Times New Roman" w:eastAsia="Times New Roman"/>
                <w:b/>
                <w:color w:val="auto"/>
                <w:w w:val="105"/>
                <w:sz w:val="21"/>
                <w:highlight w:val="none"/>
              </w:rPr>
              <w:t>m</w:t>
            </w:r>
            <w:r>
              <w:rPr>
                <w:rFonts w:hint="eastAsia" w:ascii="微软雅黑" w:hAnsi="微软雅黑" w:eastAsia="微软雅黑"/>
                <w:b/>
                <w:color w:val="auto"/>
                <w:w w:val="105"/>
                <w:sz w:val="21"/>
                <w:highlight w:val="none"/>
              </w:rPr>
              <w:t>²</w:t>
            </w:r>
            <w:r>
              <w:rPr>
                <w:rFonts w:hint="eastAsia" w:ascii="微软雅黑" w:hAnsi="微软雅黑" w:eastAsia="微软雅黑"/>
                <w:b/>
                <w:color w:val="auto"/>
                <w:w w:val="105"/>
                <w:sz w:val="21"/>
                <w:highlight w:val="none"/>
                <w:lang w:eastAsia="zh-CN"/>
              </w:rPr>
              <w:t>)</w:t>
            </w:r>
          </w:p>
        </w:tc>
        <w:tc>
          <w:tcPr>
            <w:tcW w:w="3220" w:type="dxa"/>
          </w:tcPr>
          <w:p w14:paraId="778E27ED">
            <w:pPr>
              <w:pStyle w:val="44"/>
              <w:spacing w:before="37"/>
              <w:ind w:left="122" w:right="105"/>
              <w:rPr>
                <w:rFonts w:hint="eastAsia" w:ascii="微软雅黑" w:eastAsia="微软雅黑"/>
                <w:b/>
                <w:color w:val="auto"/>
                <w:sz w:val="21"/>
                <w:highlight w:val="none"/>
              </w:rPr>
            </w:pPr>
            <w:r>
              <w:rPr>
                <w:rFonts w:hint="eastAsia" w:ascii="微软雅黑" w:eastAsia="微软雅黑"/>
                <w:b/>
                <w:color w:val="auto"/>
                <w:sz w:val="21"/>
                <w:highlight w:val="none"/>
              </w:rPr>
              <w:t>配置说明</w:t>
            </w:r>
          </w:p>
        </w:tc>
      </w:tr>
      <w:tr w14:paraId="61F0F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564" w:type="dxa"/>
          </w:tcPr>
          <w:p w14:paraId="19C36E34">
            <w:pPr>
              <w:pStyle w:val="44"/>
              <w:spacing w:before="125" w:line="213" w:lineRule="auto"/>
              <w:ind w:left="71" w:right="57"/>
              <w:jc w:val="left"/>
              <w:rPr>
                <w:rFonts w:hint="eastAsia"/>
                <w:color w:val="auto"/>
                <w:sz w:val="21"/>
                <w:highlight w:val="none"/>
              </w:rPr>
            </w:pPr>
            <w:r>
              <w:rPr>
                <w:color w:val="auto"/>
                <w:sz w:val="21"/>
                <w:highlight w:val="none"/>
              </w:rPr>
              <w:t>行政管理</w:t>
            </w:r>
          </w:p>
        </w:tc>
        <w:tc>
          <w:tcPr>
            <w:tcW w:w="1415" w:type="dxa"/>
          </w:tcPr>
          <w:p w14:paraId="796790C3">
            <w:pPr>
              <w:pStyle w:val="44"/>
              <w:jc w:val="left"/>
              <w:rPr>
                <w:rFonts w:hint="eastAsia" w:ascii="微软雅黑"/>
                <w:b/>
                <w:color w:val="auto"/>
                <w:sz w:val="12"/>
                <w:highlight w:val="none"/>
              </w:rPr>
            </w:pPr>
          </w:p>
          <w:p w14:paraId="15297ACF">
            <w:pPr>
              <w:pStyle w:val="44"/>
              <w:ind w:left="59" w:right="43"/>
              <w:rPr>
                <w:rFonts w:hint="eastAsia"/>
                <w:color w:val="auto"/>
                <w:sz w:val="21"/>
                <w:highlight w:val="none"/>
              </w:rPr>
            </w:pPr>
            <w:r>
              <w:rPr>
                <w:color w:val="auto"/>
                <w:sz w:val="21"/>
                <w:highlight w:val="none"/>
              </w:rPr>
              <w:t>村务室</w:t>
            </w:r>
          </w:p>
        </w:tc>
        <w:tc>
          <w:tcPr>
            <w:tcW w:w="3259" w:type="dxa"/>
          </w:tcPr>
          <w:p w14:paraId="73591550">
            <w:pPr>
              <w:pStyle w:val="44"/>
              <w:spacing w:line="240" w:lineRule="exact"/>
              <w:ind w:left="56" w:right="36"/>
              <w:rPr>
                <w:rFonts w:hint="eastAsia"/>
                <w:color w:val="auto"/>
                <w:sz w:val="21"/>
                <w:highlight w:val="none"/>
                <w:lang w:eastAsia="zh-CN"/>
              </w:rPr>
            </w:pPr>
            <w:r>
              <w:rPr>
                <w:color w:val="auto"/>
                <w:sz w:val="21"/>
                <w:highlight w:val="none"/>
                <w:lang w:eastAsia="zh-CN"/>
              </w:rPr>
              <w:t>就地办理计划生育、建房申请、外来人口登记、</w:t>
            </w:r>
            <w:r>
              <w:rPr>
                <w:rFonts w:hint="eastAsia"/>
                <w:color w:val="auto"/>
                <w:sz w:val="21"/>
                <w:highlight w:val="none"/>
                <w:lang w:eastAsia="zh-CN"/>
              </w:rPr>
              <w:t>农机</w:t>
            </w:r>
            <w:r>
              <w:rPr>
                <w:color w:val="auto"/>
                <w:sz w:val="21"/>
                <w:highlight w:val="none"/>
                <w:lang w:eastAsia="zh-CN"/>
              </w:rPr>
              <w:t>耕作、水电维修等与农民相关的事务</w:t>
            </w:r>
          </w:p>
        </w:tc>
        <w:tc>
          <w:tcPr>
            <w:tcW w:w="1276" w:type="dxa"/>
          </w:tcPr>
          <w:p w14:paraId="3B938E28">
            <w:pPr>
              <w:pStyle w:val="44"/>
              <w:spacing w:before="102" w:line="255" w:lineRule="exact"/>
              <w:ind w:left="60" w:right="45"/>
              <w:rPr>
                <w:rFonts w:hint="eastAsia"/>
                <w:color w:val="auto"/>
                <w:sz w:val="21"/>
                <w:highlight w:val="none"/>
              </w:rPr>
            </w:pPr>
            <w:r>
              <w:rPr>
                <w:rFonts w:ascii="Times New Roman" w:eastAsia="Times New Roman"/>
                <w:color w:val="auto"/>
                <w:sz w:val="21"/>
                <w:highlight w:val="none"/>
              </w:rPr>
              <w:t>100</w:t>
            </w:r>
            <w:r>
              <w:rPr>
                <w:color w:val="auto"/>
                <w:sz w:val="21"/>
                <w:highlight w:val="none"/>
              </w:rPr>
              <w:t>～</w:t>
            </w:r>
            <w:r>
              <w:rPr>
                <w:rFonts w:ascii="Times New Roman" w:eastAsia="Times New Roman"/>
                <w:color w:val="auto"/>
                <w:sz w:val="21"/>
                <w:highlight w:val="none"/>
              </w:rPr>
              <w:t>200</w:t>
            </w:r>
            <w:r>
              <w:rPr>
                <w:rFonts w:hint="eastAsia" w:ascii="Times New Roman" w:eastAsia="宋体"/>
                <w:color w:val="auto"/>
                <w:sz w:val="21"/>
                <w:highlight w:val="none"/>
                <w:lang w:eastAsia="zh-CN"/>
              </w:rPr>
              <w:t>（</w:t>
            </w:r>
            <w:r>
              <w:rPr>
                <w:color w:val="auto"/>
                <w:sz w:val="21"/>
                <w:highlight w:val="none"/>
              </w:rPr>
              <w:t>建</w:t>
            </w:r>
          </w:p>
          <w:p w14:paraId="26C1642F">
            <w:pPr>
              <w:pStyle w:val="44"/>
              <w:spacing w:line="255" w:lineRule="exact"/>
              <w:ind w:left="60" w:right="42"/>
              <w:rPr>
                <w:rFonts w:ascii="Times New Roman" w:eastAsia="Times New Roman"/>
                <w:color w:val="auto"/>
                <w:sz w:val="21"/>
                <w:highlight w:val="none"/>
              </w:rPr>
            </w:pPr>
            <w:r>
              <w:rPr>
                <w:color w:val="auto"/>
                <w:sz w:val="21"/>
                <w:highlight w:val="none"/>
              </w:rPr>
              <w:t>筑面积</w:t>
            </w:r>
            <w:r>
              <w:rPr>
                <w:rFonts w:ascii="Times New Roman" w:eastAsia="Times New Roman"/>
                <w:color w:val="auto"/>
                <w:sz w:val="21"/>
                <w:highlight w:val="none"/>
              </w:rPr>
              <w:t>)</w:t>
            </w:r>
          </w:p>
        </w:tc>
        <w:tc>
          <w:tcPr>
            <w:tcW w:w="3220" w:type="dxa"/>
          </w:tcPr>
          <w:p w14:paraId="642D15C5">
            <w:pPr>
              <w:pStyle w:val="44"/>
              <w:jc w:val="left"/>
              <w:rPr>
                <w:rFonts w:hint="eastAsia" w:ascii="微软雅黑"/>
                <w:b/>
                <w:color w:val="auto"/>
                <w:sz w:val="12"/>
                <w:highlight w:val="none"/>
              </w:rPr>
            </w:pPr>
          </w:p>
          <w:p w14:paraId="30A91756">
            <w:pPr>
              <w:pStyle w:val="44"/>
              <w:ind w:left="12"/>
              <w:rPr>
                <w:rFonts w:hint="eastAsia"/>
                <w:color w:val="auto"/>
                <w:sz w:val="21"/>
                <w:highlight w:val="none"/>
              </w:rPr>
            </w:pPr>
            <w:r>
              <w:rPr>
                <w:color w:val="auto"/>
                <w:sz w:val="21"/>
                <w:highlight w:val="none"/>
              </w:rPr>
              <w:t>—</w:t>
            </w:r>
          </w:p>
        </w:tc>
      </w:tr>
      <w:tr w14:paraId="6D075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vMerge w:val="restart"/>
          </w:tcPr>
          <w:p w14:paraId="75953912">
            <w:pPr>
              <w:pStyle w:val="44"/>
              <w:spacing w:before="9"/>
              <w:jc w:val="left"/>
              <w:rPr>
                <w:rFonts w:hint="eastAsia" w:ascii="微软雅黑"/>
                <w:b/>
                <w:color w:val="auto"/>
                <w:sz w:val="13"/>
                <w:highlight w:val="none"/>
              </w:rPr>
            </w:pPr>
          </w:p>
          <w:p w14:paraId="78BB5BAD">
            <w:pPr>
              <w:pStyle w:val="44"/>
              <w:spacing w:line="213" w:lineRule="auto"/>
              <w:ind w:left="71" w:right="57"/>
              <w:jc w:val="left"/>
              <w:rPr>
                <w:rFonts w:hint="eastAsia"/>
                <w:color w:val="auto"/>
                <w:sz w:val="21"/>
                <w:highlight w:val="none"/>
              </w:rPr>
            </w:pPr>
            <w:r>
              <w:rPr>
                <w:color w:val="auto"/>
                <w:sz w:val="21"/>
                <w:highlight w:val="none"/>
              </w:rPr>
              <w:t>商业服务</w:t>
            </w:r>
          </w:p>
        </w:tc>
        <w:tc>
          <w:tcPr>
            <w:tcW w:w="1415" w:type="dxa"/>
          </w:tcPr>
          <w:p w14:paraId="46B8EAAB">
            <w:pPr>
              <w:pStyle w:val="44"/>
              <w:spacing w:before="101"/>
              <w:ind w:left="58" w:right="44"/>
              <w:rPr>
                <w:rFonts w:hint="eastAsia"/>
                <w:color w:val="auto"/>
                <w:sz w:val="21"/>
                <w:highlight w:val="none"/>
              </w:rPr>
            </w:pPr>
            <w:r>
              <w:rPr>
                <w:color w:val="auto"/>
                <w:sz w:val="21"/>
                <w:highlight w:val="none"/>
              </w:rPr>
              <w:t>便民农家店</w:t>
            </w:r>
          </w:p>
        </w:tc>
        <w:tc>
          <w:tcPr>
            <w:tcW w:w="3259" w:type="dxa"/>
          </w:tcPr>
          <w:p w14:paraId="3F0F6E79">
            <w:pPr>
              <w:pStyle w:val="44"/>
              <w:spacing w:line="236" w:lineRule="exact"/>
              <w:ind w:left="37" w:right="20"/>
              <w:rPr>
                <w:rFonts w:hint="eastAsia"/>
                <w:color w:val="auto"/>
                <w:sz w:val="21"/>
                <w:highlight w:val="none"/>
                <w:lang w:eastAsia="zh-CN"/>
              </w:rPr>
            </w:pPr>
            <w:r>
              <w:rPr>
                <w:color w:val="auto"/>
                <w:sz w:val="21"/>
                <w:highlight w:val="none"/>
                <w:lang w:eastAsia="zh-CN"/>
              </w:rPr>
              <w:t>便民商业，可包含邮件快递服务等</w:t>
            </w:r>
          </w:p>
          <w:p w14:paraId="4E0DF551">
            <w:pPr>
              <w:pStyle w:val="44"/>
              <w:spacing w:line="223" w:lineRule="exact"/>
              <w:ind w:left="54" w:right="36"/>
              <w:rPr>
                <w:rFonts w:hint="eastAsia"/>
                <w:color w:val="auto"/>
                <w:sz w:val="21"/>
                <w:highlight w:val="none"/>
              </w:rPr>
            </w:pPr>
            <w:r>
              <w:rPr>
                <w:color w:val="auto"/>
                <w:sz w:val="21"/>
                <w:highlight w:val="none"/>
              </w:rPr>
              <w:t>功能</w:t>
            </w:r>
          </w:p>
        </w:tc>
        <w:tc>
          <w:tcPr>
            <w:tcW w:w="1276" w:type="dxa"/>
          </w:tcPr>
          <w:p w14:paraId="08890AB5">
            <w:pPr>
              <w:pStyle w:val="44"/>
              <w:spacing w:line="236" w:lineRule="exact"/>
              <w:ind w:left="60" w:right="45"/>
              <w:rPr>
                <w:rFonts w:hint="eastAsia"/>
                <w:color w:val="auto"/>
                <w:sz w:val="21"/>
                <w:highlight w:val="none"/>
              </w:rPr>
            </w:pPr>
            <w:r>
              <w:rPr>
                <w:rFonts w:ascii="Times New Roman" w:eastAsia="Times New Roman"/>
                <w:color w:val="auto"/>
                <w:sz w:val="21"/>
                <w:highlight w:val="none"/>
              </w:rPr>
              <w:t>120</w:t>
            </w:r>
            <w:r>
              <w:rPr>
                <w:color w:val="auto"/>
                <w:sz w:val="21"/>
                <w:highlight w:val="none"/>
              </w:rPr>
              <w:t>～</w:t>
            </w:r>
            <w:r>
              <w:rPr>
                <w:rFonts w:ascii="Times New Roman" w:eastAsia="Times New Roman"/>
                <w:color w:val="auto"/>
                <w:sz w:val="21"/>
                <w:highlight w:val="none"/>
              </w:rPr>
              <w:t>250</w:t>
            </w:r>
            <w:r>
              <w:rPr>
                <w:rFonts w:hint="eastAsia" w:ascii="Times New Roman" w:eastAsia="宋体"/>
                <w:color w:val="auto"/>
                <w:sz w:val="21"/>
                <w:highlight w:val="none"/>
                <w:lang w:eastAsia="zh-CN"/>
              </w:rPr>
              <w:t>（</w:t>
            </w:r>
            <w:r>
              <w:rPr>
                <w:color w:val="auto"/>
                <w:sz w:val="21"/>
                <w:highlight w:val="none"/>
              </w:rPr>
              <w:t>建</w:t>
            </w:r>
          </w:p>
          <w:p w14:paraId="0C6C72E9">
            <w:pPr>
              <w:pStyle w:val="44"/>
              <w:spacing w:line="223" w:lineRule="exact"/>
              <w:ind w:left="60" w:right="42"/>
              <w:rPr>
                <w:rFonts w:ascii="Times New Roman" w:eastAsia="Times New Roman"/>
                <w:color w:val="auto"/>
                <w:sz w:val="21"/>
                <w:highlight w:val="none"/>
              </w:rPr>
            </w:pPr>
            <w:r>
              <w:rPr>
                <w:color w:val="auto"/>
                <w:sz w:val="21"/>
                <w:highlight w:val="none"/>
              </w:rPr>
              <w:t>筑面积</w:t>
            </w:r>
            <w:r>
              <w:rPr>
                <w:rFonts w:ascii="Times New Roman" w:eastAsia="Times New Roman"/>
                <w:color w:val="auto"/>
                <w:sz w:val="21"/>
                <w:highlight w:val="none"/>
              </w:rPr>
              <w:t>)</w:t>
            </w:r>
          </w:p>
        </w:tc>
        <w:tc>
          <w:tcPr>
            <w:tcW w:w="3220" w:type="dxa"/>
          </w:tcPr>
          <w:p w14:paraId="37810E1E">
            <w:pPr>
              <w:pStyle w:val="44"/>
              <w:spacing w:before="101"/>
              <w:ind w:left="12"/>
              <w:rPr>
                <w:rFonts w:hint="eastAsia"/>
                <w:color w:val="auto"/>
                <w:sz w:val="21"/>
                <w:highlight w:val="none"/>
              </w:rPr>
            </w:pPr>
            <w:r>
              <w:rPr>
                <w:color w:val="auto"/>
                <w:sz w:val="21"/>
                <w:highlight w:val="none"/>
              </w:rPr>
              <w:t>—</w:t>
            </w:r>
          </w:p>
        </w:tc>
      </w:tr>
      <w:tr w14:paraId="3B0E4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vMerge w:val="continue"/>
            <w:tcBorders>
              <w:top w:val="nil"/>
            </w:tcBorders>
          </w:tcPr>
          <w:p w14:paraId="4D44E777">
            <w:pPr>
              <w:rPr>
                <w:rFonts w:hint="eastAsia"/>
                <w:color w:val="auto"/>
                <w:sz w:val="2"/>
                <w:szCs w:val="2"/>
                <w:highlight w:val="none"/>
              </w:rPr>
            </w:pPr>
          </w:p>
        </w:tc>
        <w:tc>
          <w:tcPr>
            <w:tcW w:w="1415" w:type="dxa"/>
          </w:tcPr>
          <w:p w14:paraId="6770AC80">
            <w:pPr>
              <w:pStyle w:val="44"/>
              <w:spacing w:line="240" w:lineRule="exact"/>
              <w:ind w:left="602" w:right="60" w:hanging="524"/>
              <w:jc w:val="left"/>
              <w:rPr>
                <w:rFonts w:hint="eastAsia"/>
                <w:color w:val="auto"/>
                <w:sz w:val="21"/>
                <w:highlight w:val="none"/>
              </w:rPr>
            </w:pPr>
            <w:r>
              <w:rPr>
                <w:color w:val="auto"/>
                <w:sz w:val="21"/>
                <w:highlight w:val="none"/>
              </w:rPr>
              <w:t>金融电信服务点</w:t>
            </w:r>
          </w:p>
        </w:tc>
        <w:tc>
          <w:tcPr>
            <w:tcW w:w="3259" w:type="dxa"/>
          </w:tcPr>
          <w:p w14:paraId="68969665">
            <w:pPr>
              <w:pStyle w:val="44"/>
              <w:spacing w:line="240" w:lineRule="exact"/>
              <w:ind w:left="159" w:right="36" w:hanging="104"/>
              <w:jc w:val="left"/>
              <w:rPr>
                <w:rFonts w:hint="eastAsia"/>
                <w:color w:val="auto"/>
                <w:sz w:val="21"/>
                <w:highlight w:val="none"/>
                <w:lang w:eastAsia="zh-CN"/>
              </w:rPr>
            </w:pPr>
            <w:r>
              <w:rPr>
                <w:color w:val="auto"/>
                <w:sz w:val="21"/>
                <w:highlight w:val="none"/>
                <w:lang w:eastAsia="zh-CN"/>
              </w:rPr>
              <w:t>金融知识宣传农村金融服务、咨询代理金融业务、农户信用采集等</w:t>
            </w:r>
          </w:p>
        </w:tc>
        <w:tc>
          <w:tcPr>
            <w:tcW w:w="1276" w:type="dxa"/>
          </w:tcPr>
          <w:p w14:paraId="7414901B">
            <w:pPr>
              <w:pStyle w:val="44"/>
              <w:spacing w:before="102"/>
              <w:ind w:left="15"/>
              <w:rPr>
                <w:rFonts w:hint="eastAsia"/>
                <w:color w:val="auto"/>
                <w:sz w:val="21"/>
                <w:highlight w:val="none"/>
              </w:rPr>
            </w:pPr>
            <w:r>
              <w:rPr>
                <w:color w:val="auto"/>
                <w:sz w:val="21"/>
                <w:highlight w:val="none"/>
              </w:rPr>
              <w:t>—</w:t>
            </w:r>
          </w:p>
        </w:tc>
        <w:tc>
          <w:tcPr>
            <w:tcW w:w="3220" w:type="dxa"/>
          </w:tcPr>
          <w:p w14:paraId="53E95FD5">
            <w:pPr>
              <w:pStyle w:val="44"/>
              <w:spacing w:before="102"/>
              <w:ind w:left="122" w:right="105"/>
              <w:rPr>
                <w:rFonts w:hint="eastAsia"/>
                <w:color w:val="auto"/>
                <w:sz w:val="21"/>
                <w:highlight w:val="none"/>
                <w:lang w:eastAsia="zh-CN"/>
              </w:rPr>
            </w:pPr>
            <w:r>
              <w:rPr>
                <w:color w:val="auto"/>
                <w:sz w:val="21"/>
                <w:highlight w:val="none"/>
                <w:lang w:eastAsia="zh-CN"/>
              </w:rPr>
              <w:t>宜结合村庄活动中心设置</w:t>
            </w:r>
          </w:p>
        </w:tc>
      </w:tr>
      <w:tr w14:paraId="2C969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tcPr>
          <w:p w14:paraId="2E45DA65">
            <w:pPr>
              <w:pStyle w:val="44"/>
              <w:spacing w:line="236" w:lineRule="exact"/>
              <w:ind w:left="71"/>
              <w:jc w:val="left"/>
              <w:rPr>
                <w:rFonts w:hint="eastAsia"/>
                <w:color w:val="auto"/>
                <w:sz w:val="21"/>
                <w:highlight w:val="none"/>
              </w:rPr>
            </w:pPr>
            <w:r>
              <w:rPr>
                <w:color w:val="auto"/>
                <w:sz w:val="21"/>
                <w:highlight w:val="none"/>
              </w:rPr>
              <w:t>健康</w:t>
            </w:r>
          </w:p>
          <w:p w14:paraId="48D82DC8">
            <w:pPr>
              <w:pStyle w:val="44"/>
              <w:spacing w:line="223" w:lineRule="exact"/>
              <w:ind w:left="71"/>
              <w:jc w:val="left"/>
              <w:rPr>
                <w:rFonts w:hint="eastAsia"/>
                <w:color w:val="auto"/>
                <w:sz w:val="21"/>
                <w:highlight w:val="none"/>
              </w:rPr>
            </w:pPr>
            <w:r>
              <w:rPr>
                <w:color w:val="auto"/>
                <w:sz w:val="21"/>
                <w:highlight w:val="none"/>
              </w:rPr>
              <w:t>管理</w:t>
            </w:r>
          </w:p>
        </w:tc>
        <w:tc>
          <w:tcPr>
            <w:tcW w:w="1415" w:type="dxa"/>
          </w:tcPr>
          <w:p w14:paraId="28612A60">
            <w:pPr>
              <w:pStyle w:val="44"/>
              <w:spacing w:before="101"/>
              <w:ind w:left="58" w:right="44"/>
              <w:rPr>
                <w:rFonts w:hint="eastAsia"/>
                <w:color w:val="auto"/>
                <w:sz w:val="21"/>
                <w:highlight w:val="none"/>
              </w:rPr>
            </w:pPr>
            <w:r>
              <w:rPr>
                <w:color w:val="auto"/>
                <w:sz w:val="21"/>
                <w:highlight w:val="none"/>
              </w:rPr>
              <w:t>村卫生室</w:t>
            </w:r>
          </w:p>
        </w:tc>
        <w:tc>
          <w:tcPr>
            <w:tcW w:w="3259" w:type="dxa"/>
          </w:tcPr>
          <w:p w14:paraId="32A35AC0">
            <w:pPr>
              <w:pStyle w:val="44"/>
              <w:spacing w:before="101"/>
              <w:ind w:left="51" w:right="36"/>
              <w:rPr>
                <w:rFonts w:hint="eastAsia"/>
                <w:color w:val="auto"/>
                <w:sz w:val="21"/>
                <w:highlight w:val="none"/>
              </w:rPr>
            </w:pPr>
            <w:r>
              <w:rPr>
                <w:color w:val="auto"/>
                <w:sz w:val="21"/>
                <w:highlight w:val="none"/>
              </w:rPr>
              <w:t>医疗、预防、康复等</w:t>
            </w:r>
          </w:p>
        </w:tc>
        <w:tc>
          <w:tcPr>
            <w:tcW w:w="1276" w:type="dxa"/>
          </w:tcPr>
          <w:p w14:paraId="3FDD423B">
            <w:pPr>
              <w:pStyle w:val="44"/>
              <w:spacing w:line="236" w:lineRule="exact"/>
              <w:ind w:left="60" w:right="45"/>
              <w:rPr>
                <w:rFonts w:hint="eastAsia"/>
                <w:color w:val="auto"/>
                <w:sz w:val="21"/>
                <w:highlight w:val="none"/>
              </w:rPr>
            </w:pPr>
            <w:r>
              <w:rPr>
                <w:rFonts w:ascii="Times New Roman" w:eastAsia="Times New Roman"/>
                <w:color w:val="auto"/>
                <w:sz w:val="21"/>
                <w:highlight w:val="none"/>
              </w:rPr>
              <w:t>100</w:t>
            </w:r>
            <w:r>
              <w:rPr>
                <w:color w:val="auto"/>
                <w:sz w:val="21"/>
                <w:highlight w:val="none"/>
              </w:rPr>
              <w:t>～</w:t>
            </w:r>
            <w:r>
              <w:rPr>
                <w:rFonts w:ascii="Times New Roman" w:eastAsia="Times New Roman"/>
                <w:color w:val="auto"/>
                <w:sz w:val="21"/>
                <w:highlight w:val="none"/>
              </w:rPr>
              <w:t>200</w:t>
            </w:r>
            <w:r>
              <w:rPr>
                <w:rFonts w:hint="eastAsia" w:ascii="Times New Roman" w:eastAsia="宋体"/>
                <w:color w:val="auto"/>
                <w:sz w:val="21"/>
                <w:highlight w:val="none"/>
                <w:lang w:eastAsia="zh-CN"/>
              </w:rPr>
              <w:t>（</w:t>
            </w:r>
            <w:r>
              <w:rPr>
                <w:color w:val="auto"/>
                <w:sz w:val="21"/>
                <w:highlight w:val="none"/>
              </w:rPr>
              <w:t>建</w:t>
            </w:r>
          </w:p>
          <w:p w14:paraId="26429A0A">
            <w:pPr>
              <w:pStyle w:val="44"/>
              <w:spacing w:line="223" w:lineRule="exact"/>
              <w:ind w:left="60" w:right="42"/>
              <w:rPr>
                <w:rFonts w:ascii="Times New Roman" w:eastAsia="Times New Roman"/>
                <w:color w:val="auto"/>
                <w:sz w:val="21"/>
                <w:highlight w:val="none"/>
              </w:rPr>
            </w:pPr>
            <w:r>
              <w:rPr>
                <w:color w:val="auto"/>
                <w:sz w:val="21"/>
                <w:highlight w:val="none"/>
              </w:rPr>
              <w:t>筑面积</w:t>
            </w:r>
            <w:r>
              <w:rPr>
                <w:rFonts w:ascii="Times New Roman" w:eastAsia="Times New Roman"/>
                <w:color w:val="auto"/>
                <w:sz w:val="21"/>
                <w:highlight w:val="none"/>
              </w:rPr>
              <w:t>)</w:t>
            </w:r>
          </w:p>
        </w:tc>
        <w:tc>
          <w:tcPr>
            <w:tcW w:w="3220" w:type="dxa"/>
          </w:tcPr>
          <w:p w14:paraId="641C4BD8">
            <w:pPr>
              <w:pStyle w:val="44"/>
              <w:spacing w:before="101"/>
              <w:ind w:left="122" w:right="107"/>
              <w:rPr>
                <w:rFonts w:hint="eastAsia"/>
                <w:color w:val="auto"/>
                <w:sz w:val="21"/>
                <w:highlight w:val="none"/>
                <w:lang w:eastAsia="zh-CN"/>
              </w:rPr>
            </w:pPr>
            <w:r>
              <w:rPr>
                <w:color w:val="auto"/>
                <w:sz w:val="21"/>
                <w:highlight w:val="none"/>
                <w:lang w:eastAsia="zh-CN"/>
              </w:rPr>
              <w:t>安排在建筑首层并设专用</w:t>
            </w:r>
            <w:r>
              <w:rPr>
                <w:rFonts w:hint="eastAsia"/>
                <w:color w:val="auto"/>
                <w:sz w:val="21"/>
                <w:highlight w:val="none"/>
                <w:lang w:eastAsia="zh-CN"/>
              </w:rPr>
              <w:t>出入口</w:t>
            </w:r>
          </w:p>
        </w:tc>
      </w:tr>
      <w:tr w14:paraId="50364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564" w:type="dxa"/>
            <w:vMerge w:val="restart"/>
          </w:tcPr>
          <w:p w14:paraId="276B3555">
            <w:pPr>
              <w:pStyle w:val="44"/>
              <w:jc w:val="left"/>
              <w:rPr>
                <w:rFonts w:hint="eastAsia" w:ascii="微软雅黑"/>
                <w:b/>
                <w:color w:val="auto"/>
                <w:sz w:val="20"/>
                <w:highlight w:val="none"/>
                <w:lang w:eastAsia="zh-CN"/>
              </w:rPr>
            </w:pPr>
          </w:p>
          <w:p w14:paraId="56E9CDFA">
            <w:pPr>
              <w:pStyle w:val="44"/>
              <w:jc w:val="left"/>
              <w:rPr>
                <w:rFonts w:hint="eastAsia" w:ascii="微软雅黑"/>
                <w:b/>
                <w:color w:val="auto"/>
                <w:sz w:val="14"/>
                <w:highlight w:val="none"/>
                <w:lang w:eastAsia="zh-CN"/>
              </w:rPr>
            </w:pPr>
          </w:p>
          <w:p w14:paraId="628FD053">
            <w:pPr>
              <w:pStyle w:val="44"/>
              <w:spacing w:line="213" w:lineRule="auto"/>
              <w:ind w:left="71" w:right="57"/>
              <w:jc w:val="left"/>
              <w:rPr>
                <w:rFonts w:hint="eastAsia"/>
                <w:color w:val="auto"/>
                <w:sz w:val="21"/>
                <w:highlight w:val="none"/>
              </w:rPr>
            </w:pPr>
            <w:r>
              <w:rPr>
                <w:color w:val="auto"/>
                <w:sz w:val="21"/>
                <w:highlight w:val="none"/>
              </w:rPr>
              <w:t>文化活动</w:t>
            </w:r>
          </w:p>
        </w:tc>
        <w:tc>
          <w:tcPr>
            <w:tcW w:w="1415" w:type="dxa"/>
          </w:tcPr>
          <w:p w14:paraId="4237FE8E">
            <w:pPr>
              <w:pStyle w:val="44"/>
              <w:spacing w:before="102"/>
              <w:ind w:left="58" w:right="44"/>
              <w:rPr>
                <w:rFonts w:hint="eastAsia"/>
                <w:color w:val="auto"/>
                <w:sz w:val="21"/>
                <w:highlight w:val="none"/>
              </w:rPr>
            </w:pPr>
            <w:r>
              <w:rPr>
                <w:color w:val="auto"/>
                <w:sz w:val="21"/>
                <w:highlight w:val="none"/>
              </w:rPr>
              <w:t>文化活动室</w:t>
            </w:r>
          </w:p>
        </w:tc>
        <w:tc>
          <w:tcPr>
            <w:tcW w:w="3259" w:type="dxa"/>
          </w:tcPr>
          <w:p w14:paraId="792D77D5">
            <w:pPr>
              <w:pStyle w:val="44"/>
              <w:spacing w:line="237" w:lineRule="exact"/>
              <w:ind w:left="51" w:right="36"/>
              <w:rPr>
                <w:rFonts w:hint="eastAsia"/>
                <w:color w:val="auto"/>
                <w:sz w:val="21"/>
                <w:highlight w:val="none"/>
                <w:lang w:eastAsia="zh-CN"/>
              </w:rPr>
            </w:pPr>
            <w:r>
              <w:rPr>
                <w:color w:val="auto"/>
                <w:sz w:val="21"/>
                <w:highlight w:val="none"/>
                <w:lang w:eastAsia="zh-CN"/>
              </w:rPr>
              <w:t>提供书报阅览、书画、文娱、健</w:t>
            </w:r>
          </w:p>
          <w:p w14:paraId="605B15F2">
            <w:pPr>
              <w:pStyle w:val="44"/>
              <w:spacing w:line="224" w:lineRule="exact"/>
              <w:ind w:left="51" w:right="36"/>
              <w:rPr>
                <w:rFonts w:hint="eastAsia"/>
                <w:color w:val="auto"/>
                <w:sz w:val="21"/>
                <w:highlight w:val="none"/>
                <w:lang w:eastAsia="zh-CN"/>
              </w:rPr>
            </w:pPr>
            <w:r>
              <w:rPr>
                <w:color w:val="auto"/>
                <w:sz w:val="21"/>
                <w:highlight w:val="none"/>
                <w:lang w:eastAsia="zh-CN"/>
              </w:rPr>
              <w:t>身、音乐欣赏、茶座等功能</w:t>
            </w:r>
          </w:p>
        </w:tc>
        <w:tc>
          <w:tcPr>
            <w:tcW w:w="1276" w:type="dxa"/>
          </w:tcPr>
          <w:p w14:paraId="2165D097">
            <w:pPr>
              <w:pStyle w:val="44"/>
              <w:spacing w:line="237" w:lineRule="exact"/>
              <w:ind w:left="60" w:right="45"/>
              <w:rPr>
                <w:rFonts w:hint="eastAsia"/>
                <w:color w:val="auto"/>
                <w:sz w:val="21"/>
                <w:highlight w:val="none"/>
              </w:rPr>
            </w:pPr>
            <w:r>
              <w:rPr>
                <w:rFonts w:ascii="Times New Roman" w:eastAsia="Times New Roman"/>
                <w:color w:val="auto"/>
                <w:sz w:val="21"/>
                <w:highlight w:val="none"/>
              </w:rPr>
              <w:t>200</w:t>
            </w:r>
            <w:r>
              <w:rPr>
                <w:rFonts w:hint="eastAsia" w:ascii="Times New Roman" w:eastAsia="宋体"/>
                <w:color w:val="auto"/>
                <w:sz w:val="21"/>
                <w:highlight w:val="none"/>
                <w:lang w:eastAsia="zh-CN"/>
              </w:rPr>
              <w:t>（</w:t>
            </w:r>
            <w:r>
              <w:rPr>
                <w:color w:val="auto"/>
                <w:sz w:val="21"/>
                <w:highlight w:val="none"/>
              </w:rPr>
              <w:t>建筑面</w:t>
            </w:r>
          </w:p>
          <w:p w14:paraId="59FFE501">
            <w:pPr>
              <w:pStyle w:val="44"/>
              <w:spacing w:line="224" w:lineRule="exact"/>
              <w:ind w:left="58" w:right="45"/>
              <w:rPr>
                <w:rFonts w:ascii="Times New Roman" w:eastAsia="Times New Roman"/>
                <w:color w:val="auto"/>
                <w:sz w:val="21"/>
                <w:highlight w:val="none"/>
              </w:rPr>
            </w:pPr>
            <w:r>
              <w:rPr>
                <w:color w:val="auto"/>
                <w:sz w:val="21"/>
                <w:highlight w:val="none"/>
              </w:rPr>
              <w:t>积</w:t>
            </w:r>
            <w:r>
              <w:rPr>
                <w:rFonts w:ascii="Times New Roman" w:eastAsia="Times New Roman"/>
                <w:color w:val="auto"/>
                <w:sz w:val="21"/>
                <w:highlight w:val="none"/>
              </w:rPr>
              <w:t>)</w:t>
            </w:r>
          </w:p>
        </w:tc>
        <w:tc>
          <w:tcPr>
            <w:tcW w:w="3220" w:type="dxa"/>
          </w:tcPr>
          <w:p w14:paraId="49014163">
            <w:pPr>
              <w:pStyle w:val="44"/>
              <w:spacing w:before="102"/>
              <w:ind w:left="12"/>
              <w:rPr>
                <w:rFonts w:hint="eastAsia"/>
                <w:color w:val="auto"/>
                <w:sz w:val="21"/>
                <w:highlight w:val="none"/>
              </w:rPr>
            </w:pPr>
            <w:r>
              <w:rPr>
                <w:color w:val="auto"/>
                <w:sz w:val="21"/>
                <w:highlight w:val="none"/>
              </w:rPr>
              <w:t>—</w:t>
            </w:r>
          </w:p>
        </w:tc>
      </w:tr>
      <w:tr w14:paraId="66BB7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564" w:type="dxa"/>
            <w:vMerge w:val="continue"/>
            <w:tcBorders>
              <w:top w:val="nil"/>
            </w:tcBorders>
          </w:tcPr>
          <w:p w14:paraId="4E4CEB16">
            <w:pPr>
              <w:rPr>
                <w:rFonts w:hint="eastAsia"/>
                <w:color w:val="auto"/>
                <w:sz w:val="2"/>
                <w:szCs w:val="2"/>
                <w:highlight w:val="none"/>
              </w:rPr>
            </w:pPr>
          </w:p>
        </w:tc>
        <w:tc>
          <w:tcPr>
            <w:tcW w:w="1415" w:type="dxa"/>
          </w:tcPr>
          <w:p w14:paraId="77E37D69">
            <w:pPr>
              <w:pStyle w:val="44"/>
              <w:spacing w:line="222" w:lineRule="exact"/>
              <w:ind w:left="58" w:right="44"/>
              <w:rPr>
                <w:rFonts w:hint="eastAsia"/>
                <w:color w:val="auto"/>
                <w:sz w:val="21"/>
                <w:highlight w:val="none"/>
              </w:rPr>
            </w:pPr>
            <w:r>
              <w:rPr>
                <w:color w:val="auto"/>
                <w:sz w:val="21"/>
                <w:highlight w:val="none"/>
              </w:rPr>
              <w:t>农家书屋</w:t>
            </w:r>
          </w:p>
        </w:tc>
        <w:tc>
          <w:tcPr>
            <w:tcW w:w="3259" w:type="dxa"/>
          </w:tcPr>
          <w:p w14:paraId="6D4F1DDA">
            <w:pPr>
              <w:pStyle w:val="44"/>
              <w:spacing w:line="222" w:lineRule="exact"/>
              <w:ind w:left="51" w:right="36"/>
              <w:rPr>
                <w:rFonts w:hint="eastAsia"/>
                <w:color w:val="auto"/>
                <w:sz w:val="21"/>
                <w:highlight w:val="none"/>
                <w:lang w:eastAsia="zh-CN"/>
              </w:rPr>
            </w:pPr>
            <w:r>
              <w:rPr>
                <w:color w:val="auto"/>
                <w:sz w:val="21"/>
                <w:highlight w:val="none"/>
                <w:lang w:eastAsia="zh-CN"/>
              </w:rPr>
              <w:t>农民自管自用、自助读书的场所</w:t>
            </w:r>
          </w:p>
        </w:tc>
        <w:tc>
          <w:tcPr>
            <w:tcW w:w="1276" w:type="dxa"/>
          </w:tcPr>
          <w:p w14:paraId="0F392604">
            <w:pPr>
              <w:pStyle w:val="44"/>
              <w:spacing w:line="222" w:lineRule="exact"/>
              <w:ind w:left="15"/>
              <w:rPr>
                <w:rFonts w:hint="eastAsia"/>
                <w:color w:val="auto"/>
                <w:sz w:val="21"/>
                <w:highlight w:val="none"/>
              </w:rPr>
            </w:pPr>
            <w:r>
              <w:rPr>
                <w:color w:val="auto"/>
                <w:sz w:val="21"/>
                <w:highlight w:val="none"/>
              </w:rPr>
              <w:t>—</w:t>
            </w:r>
          </w:p>
        </w:tc>
        <w:tc>
          <w:tcPr>
            <w:tcW w:w="3220" w:type="dxa"/>
          </w:tcPr>
          <w:p w14:paraId="1E7417A2">
            <w:pPr>
              <w:pStyle w:val="44"/>
              <w:spacing w:line="222" w:lineRule="exact"/>
              <w:ind w:left="12"/>
              <w:rPr>
                <w:rFonts w:hint="eastAsia"/>
                <w:color w:val="auto"/>
                <w:sz w:val="21"/>
                <w:highlight w:val="none"/>
              </w:rPr>
            </w:pPr>
            <w:r>
              <w:rPr>
                <w:color w:val="auto"/>
                <w:sz w:val="21"/>
                <w:highlight w:val="none"/>
              </w:rPr>
              <w:t>—</w:t>
            </w:r>
          </w:p>
        </w:tc>
      </w:tr>
      <w:tr w14:paraId="4A5A8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64" w:type="dxa"/>
            <w:vMerge w:val="continue"/>
            <w:tcBorders>
              <w:top w:val="nil"/>
            </w:tcBorders>
          </w:tcPr>
          <w:p w14:paraId="4057348D">
            <w:pPr>
              <w:rPr>
                <w:rFonts w:hint="eastAsia"/>
                <w:color w:val="auto"/>
                <w:sz w:val="2"/>
                <w:szCs w:val="2"/>
                <w:highlight w:val="none"/>
              </w:rPr>
            </w:pPr>
          </w:p>
        </w:tc>
        <w:tc>
          <w:tcPr>
            <w:tcW w:w="1415" w:type="dxa"/>
          </w:tcPr>
          <w:p w14:paraId="6C87E953">
            <w:pPr>
              <w:pStyle w:val="44"/>
              <w:spacing w:line="220" w:lineRule="exact"/>
              <w:ind w:left="58" w:right="44"/>
              <w:rPr>
                <w:rFonts w:hint="eastAsia"/>
                <w:color w:val="auto"/>
                <w:sz w:val="21"/>
                <w:highlight w:val="none"/>
              </w:rPr>
            </w:pPr>
            <w:r>
              <w:rPr>
                <w:color w:val="auto"/>
                <w:sz w:val="21"/>
                <w:highlight w:val="none"/>
              </w:rPr>
              <w:t>红白喜事厅</w:t>
            </w:r>
          </w:p>
        </w:tc>
        <w:tc>
          <w:tcPr>
            <w:tcW w:w="3259" w:type="dxa"/>
          </w:tcPr>
          <w:p w14:paraId="350F08C5">
            <w:pPr>
              <w:pStyle w:val="44"/>
              <w:spacing w:line="220" w:lineRule="exact"/>
              <w:ind w:left="54" w:right="36"/>
              <w:rPr>
                <w:rFonts w:hint="eastAsia"/>
                <w:color w:val="auto"/>
                <w:sz w:val="21"/>
                <w:highlight w:val="none"/>
              </w:rPr>
            </w:pPr>
            <w:r>
              <w:rPr>
                <w:color w:val="auto"/>
                <w:sz w:val="21"/>
                <w:highlight w:val="none"/>
              </w:rPr>
              <w:t>操办红白喜事</w:t>
            </w:r>
          </w:p>
        </w:tc>
        <w:tc>
          <w:tcPr>
            <w:tcW w:w="1276" w:type="dxa"/>
          </w:tcPr>
          <w:p w14:paraId="1CD02B89">
            <w:pPr>
              <w:pStyle w:val="44"/>
              <w:spacing w:line="220" w:lineRule="exact"/>
              <w:ind w:left="15"/>
              <w:rPr>
                <w:rFonts w:hint="eastAsia"/>
                <w:color w:val="auto"/>
                <w:sz w:val="21"/>
                <w:highlight w:val="none"/>
              </w:rPr>
            </w:pPr>
            <w:r>
              <w:rPr>
                <w:color w:val="auto"/>
                <w:sz w:val="21"/>
                <w:highlight w:val="none"/>
              </w:rPr>
              <w:t>—</w:t>
            </w:r>
          </w:p>
        </w:tc>
        <w:tc>
          <w:tcPr>
            <w:tcW w:w="3220" w:type="dxa"/>
          </w:tcPr>
          <w:p w14:paraId="7922E28F">
            <w:pPr>
              <w:pStyle w:val="44"/>
              <w:spacing w:line="220" w:lineRule="exact"/>
              <w:ind w:left="122" w:right="105"/>
              <w:rPr>
                <w:rFonts w:hint="eastAsia"/>
                <w:color w:val="auto"/>
                <w:sz w:val="21"/>
                <w:highlight w:val="none"/>
                <w:lang w:eastAsia="zh-CN"/>
              </w:rPr>
            </w:pPr>
            <w:r>
              <w:rPr>
                <w:color w:val="auto"/>
                <w:sz w:val="21"/>
                <w:highlight w:val="none"/>
                <w:lang w:eastAsia="zh-CN"/>
              </w:rPr>
              <w:t>宜结合村庄活动中心设置</w:t>
            </w:r>
          </w:p>
        </w:tc>
      </w:tr>
      <w:tr w14:paraId="15D7C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vMerge w:val="continue"/>
            <w:tcBorders>
              <w:top w:val="nil"/>
            </w:tcBorders>
          </w:tcPr>
          <w:p w14:paraId="0DDB5548">
            <w:pPr>
              <w:rPr>
                <w:rFonts w:hint="eastAsia"/>
                <w:color w:val="auto"/>
                <w:sz w:val="2"/>
                <w:szCs w:val="2"/>
                <w:highlight w:val="none"/>
                <w:lang w:eastAsia="zh-CN"/>
              </w:rPr>
            </w:pPr>
          </w:p>
        </w:tc>
        <w:tc>
          <w:tcPr>
            <w:tcW w:w="1415" w:type="dxa"/>
          </w:tcPr>
          <w:p w14:paraId="32635D36">
            <w:pPr>
              <w:pStyle w:val="44"/>
              <w:spacing w:line="240" w:lineRule="exact"/>
              <w:ind w:left="602" w:right="60" w:hanging="524"/>
              <w:jc w:val="left"/>
              <w:rPr>
                <w:rFonts w:hint="eastAsia"/>
                <w:color w:val="auto"/>
                <w:sz w:val="21"/>
                <w:highlight w:val="none"/>
              </w:rPr>
            </w:pPr>
            <w:r>
              <w:rPr>
                <w:color w:val="auto"/>
                <w:sz w:val="21"/>
                <w:highlight w:val="none"/>
              </w:rPr>
              <w:t>特色民俗活动点</w:t>
            </w:r>
          </w:p>
        </w:tc>
        <w:tc>
          <w:tcPr>
            <w:tcW w:w="3259" w:type="dxa"/>
          </w:tcPr>
          <w:p w14:paraId="28FBA0FB">
            <w:pPr>
              <w:pStyle w:val="44"/>
              <w:spacing w:line="240" w:lineRule="exact"/>
              <w:ind w:left="1525" w:right="36" w:hanging="1470"/>
              <w:jc w:val="left"/>
              <w:rPr>
                <w:rFonts w:hint="eastAsia"/>
                <w:color w:val="auto"/>
                <w:sz w:val="21"/>
                <w:highlight w:val="none"/>
                <w:lang w:eastAsia="zh-CN"/>
              </w:rPr>
            </w:pPr>
            <w:r>
              <w:rPr>
                <w:color w:val="auto"/>
                <w:sz w:val="21"/>
                <w:highlight w:val="none"/>
                <w:lang w:eastAsia="zh-CN"/>
              </w:rPr>
              <w:t>举办各种农民集体活动、民俗活动等</w:t>
            </w:r>
          </w:p>
        </w:tc>
        <w:tc>
          <w:tcPr>
            <w:tcW w:w="1276" w:type="dxa"/>
          </w:tcPr>
          <w:p w14:paraId="585B9825">
            <w:pPr>
              <w:pStyle w:val="44"/>
              <w:spacing w:line="240" w:lineRule="exact"/>
              <w:ind w:left="499" w:right="114" w:hanging="368"/>
              <w:jc w:val="left"/>
              <w:rPr>
                <w:rFonts w:ascii="Times New Roman" w:eastAsia="Times New Roman"/>
                <w:color w:val="auto"/>
                <w:sz w:val="21"/>
                <w:highlight w:val="none"/>
              </w:rPr>
            </w:pPr>
            <w:r>
              <w:rPr>
                <w:rFonts w:ascii="Times New Roman" w:eastAsia="Times New Roman"/>
                <w:color w:val="auto"/>
                <w:sz w:val="21"/>
                <w:highlight w:val="none"/>
              </w:rPr>
              <w:t>600</w:t>
            </w:r>
            <w:r>
              <w:rPr>
                <w:rFonts w:hint="eastAsia" w:ascii="Times New Roman" w:eastAsia="宋体"/>
                <w:color w:val="auto"/>
                <w:sz w:val="21"/>
                <w:highlight w:val="none"/>
                <w:lang w:eastAsia="zh-CN"/>
              </w:rPr>
              <w:t>（</w:t>
            </w:r>
            <w:r>
              <w:rPr>
                <w:color w:val="auto"/>
                <w:sz w:val="21"/>
                <w:highlight w:val="none"/>
              </w:rPr>
              <w:t>建筑面积</w:t>
            </w:r>
            <w:r>
              <w:rPr>
                <w:rFonts w:ascii="Times New Roman" w:eastAsia="Times New Roman"/>
                <w:color w:val="auto"/>
                <w:sz w:val="21"/>
                <w:highlight w:val="none"/>
              </w:rPr>
              <w:t>)</w:t>
            </w:r>
          </w:p>
        </w:tc>
        <w:tc>
          <w:tcPr>
            <w:tcW w:w="3220" w:type="dxa"/>
          </w:tcPr>
          <w:p w14:paraId="4CE8B0E9">
            <w:pPr>
              <w:pStyle w:val="44"/>
              <w:spacing w:before="102"/>
              <w:ind w:left="122" w:right="105"/>
              <w:rPr>
                <w:rFonts w:hint="eastAsia"/>
                <w:color w:val="auto"/>
                <w:sz w:val="21"/>
                <w:highlight w:val="none"/>
                <w:lang w:eastAsia="zh-CN"/>
              </w:rPr>
            </w:pPr>
            <w:r>
              <w:rPr>
                <w:color w:val="auto"/>
                <w:sz w:val="21"/>
                <w:highlight w:val="none"/>
                <w:lang w:eastAsia="zh-CN"/>
              </w:rPr>
              <w:t>宜结合村庄活动中心设置</w:t>
            </w:r>
          </w:p>
        </w:tc>
      </w:tr>
      <w:tr w14:paraId="5DDFB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64" w:type="dxa"/>
            <w:vMerge w:val="continue"/>
            <w:tcBorders>
              <w:top w:val="nil"/>
            </w:tcBorders>
          </w:tcPr>
          <w:p w14:paraId="115E91C3">
            <w:pPr>
              <w:rPr>
                <w:rFonts w:hint="eastAsia"/>
                <w:color w:val="auto"/>
                <w:sz w:val="2"/>
                <w:szCs w:val="2"/>
                <w:highlight w:val="none"/>
                <w:lang w:eastAsia="zh-CN"/>
              </w:rPr>
            </w:pPr>
          </w:p>
        </w:tc>
        <w:tc>
          <w:tcPr>
            <w:tcW w:w="1415" w:type="dxa"/>
          </w:tcPr>
          <w:p w14:paraId="740AA321">
            <w:pPr>
              <w:pStyle w:val="44"/>
              <w:spacing w:line="219" w:lineRule="exact"/>
              <w:ind w:left="59" w:right="43"/>
              <w:rPr>
                <w:rFonts w:hint="eastAsia"/>
                <w:color w:val="auto"/>
                <w:sz w:val="21"/>
                <w:highlight w:val="none"/>
              </w:rPr>
            </w:pPr>
            <w:r>
              <w:rPr>
                <w:color w:val="auto"/>
                <w:sz w:val="21"/>
                <w:highlight w:val="none"/>
              </w:rPr>
              <w:t>戏台</w:t>
            </w:r>
          </w:p>
        </w:tc>
        <w:tc>
          <w:tcPr>
            <w:tcW w:w="3259" w:type="dxa"/>
          </w:tcPr>
          <w:p w14:paraId="57211928">
            <w:pPr>
              <w:pStyle w:val="44"/>
              <w:jc w:val="left"/>
              <w:rPr>
                <w:rFonts w:hint="eastAsia" w:ascii="Times New Roman"/>
                <w:color w:val="auto"/>
                <w:sz w:val="16"/>
                <w:highlight w:val="none"/>
              </w:rPr>
            </w:pPr>
          </w:p>
        </w:tc>
        <w:tc>
          <w:tcPr>
            <w:tcW w:w="1276" w:type="dxa"/>
          </w:tcPr>
          <w:p w14:paraId="2BCEEA3A">
            <w:pPr>
              <w:pStyle w:val="44"/>
              <w:spacing w:line="219" w:lineRule="exact"/>
              <w:ind w:left="15"/>
              <w:rPr>
                <w:rFonts w:hint="eastAsia"/>
                <w:color w:val="auto"/>
                <w:sz w:val="21"/>
                <w:highlight w:val="none"/>
              </w:rPr>
            </w:pPr>
            <w:r>
              <w:rPr>
                <w:color w:val="auto"/>
                <w:sz w:val="21"/>
                <w:highlight w:val="none"/>
              </w:rPr>
              <w:t>—</w:t>
            </w:r>
          </w:p>
        </w:tc>
        <w:tc>
          <w:tcPr>
            <w:tcW w:w="3220" w:type="dxa"/>
          </w:tcPr>
          <w:p w14:paraId="3BFC6C9E">
            <w:pPr>
              <w:pStyle w:val="44"/>
              <w:spacing w:line="219" w:lineRule="exact"/>
              <w:ind w:left="12"/>
              <w:rPr>
                <w:rFonts w:hint="eastAsia"/>
                <w:color w:val="auto"/>
                <w:sz w:val="21"/>
                <w:highlight w:val="none"/>
              </w:rPr>
            </w:pPr>
            <w:r>
              <w:rPr>
                <w:color w:val="auto"/>
                <w:sz w:val="21"/>
                <w:highlight w:val="none"/>
              </w:rPr>
              <w:t>—</w:t>
            </w:r>
          </w:p>
        </w:tc>
      </w:tr>
      <w:tr w14:paraId="1B426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tcPr>
          <w:p w14:paraId="6971EDF0">
            <w:pPr>
              <w:pStyle w:val="44"/>
              <w:spacing w:line="240" w:lineRule="exact"/>
              <w:ind w:left="71" w:right="57"/>
              <w:jc w:val="left"/>
              <w:rPr>
                <w:rFonts w:hint="eastAsia"/>
                <w:color w:val="auto"/>
                <w:sz w:val="21"/>
                <w:highlight w:val="none"/>
              </w:rPr>
            </w:pPr>
            <w:r>
              <w:rPr>
                <w:color w:val="auto"/>
                <w:sz w:val="21"/>
                <w:highlight w:val="none"/>
              </w:rPr>
              <w:t>体育健身</w:t>
            </w:r>
          </w:p>
        </w:tc>
        <w:tc>
          <w:tcPr>
            <w:tcW w:w="1415" w:type="dxa"/>
          </w:tcPr>
          <w:p w14:paraId="52C1FCC2">
            <w:pPr>
              <w:pStyle w:val="44"/>
              <w:spacing w:before="102"/>
              <w:ind w:left="58" w:right="44"/>
              <w:rPr>
                <w:rFonts w:hint="eastAsia"/>
                <w:color w:val="auto"/>
                <w:sz w:val="21"/>
                <w:highlight w:val="none"/>
              </w:rPr>
            </w:pPr>
            <w:r>
              <w:rPr>
                <w:color w:val="auto"/>
                <w:sz w:val="21"/>
                <w:highlight w:val="none"/>
              </w:rPr>
              <w:t>健身广场</w:t>
            </w:r>
          </w:p>
        </w:tc>
        <w:tc>
          <w:tcPr>
            <w:tcW w:w="3259" w:type="dxa"/>
          </w:tcPr>
          <w:p w14:paraId="770A7FE1">
            <w:pPr>
              <w:pStyle w:val="44"/>
              <w:spacing w:line="240" w:lineRule="exact"/>
              <w:ind w:left="896" w:right="36" w:hanging="840"/>
              <w:jc w:val="left"/>
              <w:rPr>
                <w:rFonts w:hint="eastAsia"/>
                <w:color w:val="auto"/>
                <w:sz w:val="21"/>
                <w:highlight w:val="none"/>
                <w:lang w:eastAsia="zh-CN"/>
              </w:rPr>
            </w:pPr>
            <w:r>
              <w:rPr>
                <w:color w:val="auto"/>
                <w:sz w:val="21"/>
                <w:highlight w:val="none"/>
                <w:lang w:eastAsia="zh-CN"/>
              </w:rPr>
              <w:t>篮球、羽毛球、乒乓球、单双杠及其他健身器械等</w:t>
            </w:r>
          </w:p>
        </w:tc>
        <w:tc>
          <w:tcPr>
            <w:tcW w:w="1276" w:type="dxa"/>
          </w:tcPr>
          <w:p w14:paraId="68D8E009">
            <w:pPr>
              <w:pStyle w:val="44"/>
              <w:spacing w:line="240" w:lineRule="exact"/>
              <w:ind w:left="499" w:right="114" w:hanging="368"/>
              <w:jc w:val="left"/>
              <w:rPr>
                <w:rFonts w:ascii="Times New Roman" w:eastAsia="Times New Roman"/>
                <w:color w:val="auto"/>
                <w:sz w:val="21"/>
                <w:highlight w:val="none"/>
              </w:rPr>
            </w:pPr>
            <w:r>
              <w:rPr>
                <w:rFonts w:ascii="Times New Roman" w:eastAsia="Times New Roman"/>
                <w:color w:val="auto"/>
                <w:sz w:val="21"/>
                <w:highlight w:val="none"/>
              </w:rPr>
              <w:t>400</w:t>
            </w:r>
            <w:r>
              <w:rPr>
                <w:rFonts w:hint="eastAsia" w:ascii="Times New Roman" w:eastAsia="宋体"/>
                <w:color w:val="auto"/>
                <w:sz w:val="21"/>
                <w:highlight w:val="none"/>
                <w:lang w:eastAsia="zh-CN"/>
              </w:rPr>
              <w:t>（</w:t>
            </w:r>
            <w:r>
              <w:rPr>
                <w:color w:val="auto"/>
                <w:sz w:val="21"/>
                <w:highlight w:val="none"/>
              </w:rPr>
              <w:t>用地面积</w:t>
            </w:r>
            <w:r>
              <w:rPr>
                <w:rFonts w:ascii="Times New Roman" w:eastAsia="Times New Roman"/>
                <w:color w:val="auto"/>
                <w:sz w:val="21"/>
                <w:highlight w:val="none"/>
              </w:rPr>
              <w:t>)</w:t>
            </w:r>
          </w:p>
        </w:tc>
        <w:tc>
          <w:tcPr>
            <w:tcW w:w="3220" w:type="dxa"/>
          </w:tcPr>
          <w:p w14:paraId="63179880">
            <w:pPr>
              <w:pStyle w:val="44"/>
              <w:spacing w:before="102"/>
              <w:ind w:left="122" w:right="107"/>
              <w:rPr>
                <w:rFonts w:hint="eastAsia"/>
                <w:color w:val="auto"/>
                <w:sz w:val="21"/>
                <w:highlight w:val="none"/>
              </w:rPr>
            </w:pPr>
            <w:r>
              <w:rPr>
                <w:color w:val="auto"/>
                <w:sz w:val="21"/>
                <w:highlight w:val="none"/>
              </w:rPr>
              <w:t>宜与绿地结合设置</w:t>
            </w:r>
          </w:p>
        </w:tc>
      </w:tr>
      <w:tr w14:paraId="451A1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564" w:type="dxa"/>
            <w:vMerge w:val="restart"/>
          </w:tcPr>
          <w:p w14:paraId="5CA481FC">
            <w:pPr>
              <w:pStyle w:val="44"/>
              <w:jc w:val="left"/>
              <w:rPr>
                <w:rFonts w:hint="eastAsia" w:ascii="微软雅黑"/>
                <w:b/>
                <w:color w:val="auto"/>
                <w:sz w:val="20"/>
                <w:highlight w:val="none"/>
              </w:rPr>
            </w:pPr>
          </w:p>
          <w:p w14:paraId="2E1B89BF">
            <w:pPr>
              <w:pStyle w:val="44"/>
              <w:spacing w:before="14"/>
              <w:jc w:val="left"/>
              <w:rPr>
                <w:rFonts w:hint="eastAsia" w:ascii="微软雅黑"/>
                <w:b/>
                <w:color w:val="auto"/>
                <w:sz w:val="12"/>
                <w:highlight w:val="none"/>
              </w:rPr>
            </w:pPr>
          </w:p>
          <w:p w14:paraId="71803F1F">
            <w:pPr>
              <w:pStyle w:val="44"/>
              <w:spacing w:line="213" w:lineRule="auto"/>
              <w:ind w:left="71" w:right="57"/>
              <w:jc w:val="left"/>
              <w:rPr>
                <w:rFonts w:hint="eastAsia"/>
                <w:color w:val="auto"/>
                <w:sz w:val="21"/>
                <w:highlight w:val="none"/>
              </w:rPr>
            </w:pPr>
            <w:r>
              <w:rPr>
                <w:color w:val="auto"/>
                <w:sz w:val="21"/>
                <w:highlight w:val="none"/>
              </w:rPr>
              <w:t>教育设施</w:t>
            </w:r>
          </w:p>
        </w:tc>
        <w:tc>
          <w:tcPr>
            <w:tcW w:w="1415" w:type="dxa"/>
          </w:tcPr>
          <w:p w14:paraId="60028730">
            <w:pPr>
              <w:pStyle w:val="44"/>
              <w:jc w:val="left"/>
              <w:rPr>
                <w:rFonts w:hint="eastAsia" w:ascii="微软雅黑"/>
                <w:b/>
                <w:color w:val="auto"/>
                <w:sz w:val="12"/>
                <w:highlight w:val="none"/>
              </w:rPr>
            </w:pPr>
          </w:p>
          <w:p w14:paraId="5C093140">
            <w:pPr>
              <w:pStyle w:val="44"/>
              <w:ind w:left="58" w:right="44"/>
              <w:rPr>
                <w:rFonts w:hint="eastAsia"/>
                <w:color w:val="auto"/>
                <w:sz w:val="21"/>
                <w:highlight w:val="none"/>
              </w:rPr>
            </w:pPr>
            <w:r>
              <w:rPr>
                <w:color w:val="auto"/>
                <w:sz w:val="21"/>
                <w:highlight w:val="none"/>
              </w:rPr>
              <w:t>村幼儿园</w:t>
            </w:r>
          </w:p>
        </w:tc>
        <w:tc>
          <w:tcPr>
            <w:tcW w:w="3259" w:type="dxa"/>
          </w:tcPr>
          <w:p w14:paraId="67B344E8">
            <w:pPr>
              <w:pStyle w:val="44"/>
              <w:jc w:val="left"/>
              <w:rPr>
                <w:rFonts w:hint="eastAsia" w:ascii="微软雅黑"/>
                <w:b/>
                <w:color w:val="auto"/>
                <w:sz w:val="12"/>
                <w:highlight w:val="none"/>
                <w:lang w:eastAsia="zh-CN"/>
              </w:rPr>
            </w:pPr>
          </w:p>
          <w:p w14:paraId="63675E42">
            <w:pPr>
              <w:pStyle w:val="44"/>
              <w:ind w:left="38" w:right="20"/>
              <w:rPr>
                <w:rFonts w:hint="eastAsia"/>
                <w:color w:val="auto"/>
                <w:sz w:val="21"/>
                <w:highlight w:val="none"/>
                <w:lang w:eastAsia="zh-CN"/>
              </w:rPr>
            </w:pPr>
            <w:r>
              <w:rPr>
                <w:color w:val="auto"/>
                <w:sz w:val="21"/>
                <w:highlight w:val="none"/>
                <w:lang w:eastAsia="zh-CN"/>
              </w:rPr>
              <w:t xml:space="preserve">保教 </w:t>
            </w:r>
            <w:r>
              <w:rPr>
                <w:rFonts w:ascii="Times New Roman" w:eastAsia="Times New Roman"/>
                <w:color w:val="auto"/>
                <w:sz w:val="21"/>
                <w:highlight w:val="none"/>
                <w:lang w:eastAsia="zh-CN"/>
              </w:rPr>
              <w:t xml:space="preserve">3 </w:t>
            </w:r>
            <w:r>
              <w:rPr>
                <w:color w:val="auto"/>
                <w:sz w:val="21"/>
                <w:highlight w:val="none"/>
                <w:lang w:eastAsia="zh-CN"/>
              </w:rPr>
              <w:t>周岁～</w:t>
            </w:r>
            <w:r>
              <w:rPr>
                <w:rFonts w:ascii="Times New Roman" w:eastAsia="Times New Roman"/>
                <w:color w:val="auto"/>
                <w:sz w:val="21"/>
                <w:highlight w:val="none"/>
                <w:lang w:eastAsia="zh-CN"/>
              </w:rPr>
              <w:t xml:space="preserve">6 </w:t>
            </w:r>
            <w:r>
              <w:rPr>
                <w:color w:val="auto"/>
                <w:sz w:val="21"/>
                <w:highlight w:val="none"/>
                <w:lang w:eastAsia="zh-CN"/>
              </w:rPr>
              <w:t>周岁的学龄前儿童</w:t>
            </w:r>
          </w:p>
        </w:tc>
        <w:tc>
          <w:tcPr>
            <w:tcW w:w="1276" w:type="dxa"/>
          </w:tcPr>
          <w:p w14:paraId="0F97EBFC">
            <w:pPr>
              <w:pStyle w:val="44"/>
              <w:spacing w:before="4" w:line="213" w:lineRule="auto"/>
              <w:ind w:left="45" w:right="25" w:hanging="3"/>
              <w:rPr>
                <w:rFonts w:hint="eastAsia"/>
                <w:color w:val="auto"/>
                <w:sz w:val="21"/>
                <w:highlight w:val="none"/>
              </w:rPr>
            </w:pPr>
            <w:r>
              <w:rPr>
                <w:rFonts w:ascii="Times New Roman" w:hAnsi="Times New Roman" w:eastAsia="Times New Roman"/>
                <w:color w:val="auto"/>
                <w:sz w:val="21"/>
                <w:highlight w:val="none"/>
              </w:rPr>
              <w:t>2120</w:t>
            </w:r>
            <w:r>
              <w:rPr>
                <w:rFonts w:hint="eastAsia" w:ascii="Times New Roman" w:hAnsi="Times New Roman" w:eastAsia="宋体"/>
                <w:color w:val="auto"/>
                <w:sz w:val="21"/>
                <w:highlight w:val="none"/>
                <w:lang w:eastAsia="zh-CN"/>
              </w:rPr>
              <w:t>（</w:t>
            </w:r>
            <w:r>
              <w:rPr>
                <w:color w:val="auto"/>
                <w:sz w:val="21"/>
                <w:highlight w:val="none"/>
              </w:rPr>
              <w:t>建筑面积</w:t>
            </w:r>
            <w:r>
              <w:rPr>
                <w:rFonts w:ascii="Times New Roman" w:hAnsi="Times New Roman" w:eastAsia="Times New Roman"/>
                <w:color w:val="auto"/>
                <w:sz w:val="21"/>
                <w:highlight w:val="none"/>
              </w:rPr>
              <w:t>)</w:t>
            </w:r>
            <w:r>
              <w:rPr>
                <w:rFonts w:hint="eastAsia" w:ascii="Times New Roman" w:hAnsi="Times New Roman" w:eastAsia="宋体"/>
                <w:color w:val="auto"/>
                <w:sz w:val="21"/>
                <w:highlight w:val="none"/>
                <w:lang w:eastAsia="zh-CN"/>
              </w:rPr>
              <w:t>（</w:t>
            </w:r>
            <w:r>
              <w:rPr>
                <w:color w:val="auto"/>
                <w:sz w:val="21"/>
                <w:highlight w:val="none"/>
              </w:rPr>
              <w:t>班级数≥</w:t>
            </w:r>
          </w:p>
          <w:p w14:paraId="5244EC80">
            <w:pPr>
              <w:pStyle w:val="44"/>
              <w:spacing w:line="216" w:lineRule="exact"/>
              <w:ind w:left="58" w:right="45"/>
              <w:rPr>
                <w:rFonts w:hint="eastAsia" w:ascii="Times New Roman"/>
                <w:color w:val="auto"/>
                <w:sz w:val="21"/>
                <w:highlight w:val="none"/>
              </w:rPr>
            </w:pPr>
            <w:r>
              <w:rPr>
                <w:rFonts w:ascii="Times New Roman"/>
                <w:color w:val="auto"/>
                <w:sz w:val="21"/>
                <w:highlight w:val="none"/>
              </w:rPr>
              <w:t>3)</w:t>
            </w:r>
          </w:p>
        </w:tc>
        <w:tc>
          <w:tcPr>
            <w:tcW w:w="3220" w:type="dxa"/>
            <w:vMerge w:val="restart"/>
          </w:tcPr>
          <w:p w14:paraId="3931CF0E">
            <w:pPr>
              <w:pStyle w:val="44"/>
              <w:spacing w:before="4" w:line="213" w:lineRule="auto"/>
              <w:ind w:left="36" w:right="17" w:hanging="3"/>
              <w:rPr>
                <w:rFonts w:hint="eastAsia"/>
                <w:color w:val="auto"/>
                <w:sz w:val="21"/>
                <w:highlight w:val="none"/>
                <w:lang w:eastAsia="zh-CN"/>
              </w:rPr>
            </w:pPr>
            <w:r>
              <w:rPr>
                <w:rFonts w:ascii="Times New Roman" w:eastAsia="Times New Roman"/>
                <w:color w:val="auto"/>
                <w:sz w:val="21"/>
                <w:highlight w:val="none"/>
                <w:lang w:eastAsia="zh-CN"/>
              </w:rPr>
              <w:t>1.</w:t>
            </w:r>
            <w:r>
              <w:rPr>
                <w:color w:val="auto"/>
                <w:spacing w:val="-3"/>
                <w:sz w:val="21"/>
                <w:highlight w:val="none"/>
                <w:lang w:eastAsia="zh-CN"/>
              </w:rPr>
              <w:t xml:space="preserve">应设于阳光充足、接近公共绿 </w:t>
            </w:r>
            <w:r>
              <w:rPr>
                <w:color w:val="auto"/>
                <w:spacing w:val="-4"/>
                <w:sz w:val="21"/>
                <w:highlight w:val="none"/>
                <w:lang w:eastAsia="zh-CN"/>
              </w:rPr>
              <w:t>地、便于家长接送的地段，其生活用房应满足冬至日底层满窗日照不</w:t>
            </w:r>
            <w:r>
              <w:rPr>
                <w:color w:val="auto"/>
                <w:spacing w:val="-17"/>
                <w:sz w:val="21"/>
                <w:highlight w:val="none"/>
                <w:lang w:eastAsia="zh-CN"/>
              </w:rPr>
              <w:t xml:space="preserve">少于 </w:t>
            </w:r>
            <w:r>
              <w:rPr>
                <w:rFonts w:ascii="Times New Roman" w:eastAsia="Times New Roman"/>
                <w:color w:val="auto"/>
                <w:sz w:val="21"/>
                <w:highlight w:val="none"/>
                <w:lang w:eastAsia="zh-CN"/>
              </w:rPr>
              <w:t xml:space="preserve">3h </w:t>
            </w:r>
            <w:r>
              <w:rPr>
                <w:color w:val="auto"/>
                <w:spacing w:val="-3"/>
                <w:sz w:val="21"/>
                <w:highlight w:val="none"/>
                <w:lang w:eastAsia="zh-CN"/>
              </w:rPr>
              <w:t>的日照标准，宜设置于可遮挡冬季寒风的建筑物背面；</w:t>
            </w:r>
            <w:r>
              <w:rPr>
                <w:rFonts w:ascii="Times New Roman" w:eastAsia="Times New Roman"/>
                <w:color w:val="auto"/>
                <w:sz w:val="21"/>
                <w:highlight w:val="none"/>
                <w:lang w:eastAsia="zh-CN"/>
              </w:rPr>
              <w:t>2.</w:t>
            </w:r>
            <w:r>
              <w:rPr>
                <w:color w:val="auto"/>
                <w:sz w:val="21"/>
                <w:highlight w:val="none"/>
                <w:lang w:eastAsia="zh-CN"/>
              </w:rPr>
              <w:t>活</w:t>
            </w:r>
            <w:r>
              <w:rPr>
                <w:color w:val="auto"/>
                <w:spacing w:val="-8"/>
                <w:sz w:val="21"/>
                <w:highlight w:val="none"/>
                <w:lang w:eastAsia="zh-CN"/>
              </w:rPr>
              <w:t xml:space="preserve">动场地应有不少于 </w:t>
            </w:r>
            <w:r>
              <w:rPr>
                <w:rFonts w:ascii="Times New Roman" w:eastAsia="Times New Roman"/>
                <w:color w:val="auto"/>
                <w:sz w:val="21"/>
                <w:highlight w:val="none"/>
                <w:lang w:eastAsia="zh-CN"/>
              </w:rPr>
              <w:t xml:space="preserve">1/2 </w:t>
            </w:r>
            <w:r>
              <w:rPr>
                <w:color w:val="auto"/>
                <w:spacing w:val="-3"/>
                <w:sz w:val="21"/>
                <w:highlight w:val="none"/>
                <w:lang w:eastAsia="zh-CN"/>
              </w:rPr>
              <w:t>的活动面积</w:t>
            </w:r>
          </w:p>
          <w:p w14:paraId="46E11CC9">
            <w:pPr>
              <w:pStyle w:val="44"/>
              <w:spacing w:line="218" w:lineRule="exact"/>
              <w:ind w:left="122" w:right="107"/>
              <w:rPr>
                <w:rFonts w:hint="eastAsia"/>
                <w:color w:val="auto"/>
                <w:sz w:val="21"/>
                <w:highlight w:val="none"/>
                <w:lang w:eastAsia="zh-CN"/>
              </w:rPr>
            </w:pPr>
            <w:r>
              <w:rPr>
                <w:color w:val="auto"/>
                <w:sz w:val="21"/>
                <w:highlight w:val="none"/>
                <w:lang w:eastAsia="zh-CN"/>
              </w:rPr>
              <w:t>在标准的建筑日照阴影线之外</w:t>
            </w:r>
          </w:p>
        </w:tc>
      </w:tr>
      <w:tr w14:paraId="43C83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564" w:type="dxa"/>
            <w:vMerge w:val="continue"/>
            <w:tcBorders>
              <w:top w:val="nil"/>
            </w:tcBorders>
          </w:tcPr>
          <w:p w14:paraId="14DFD64C">
            <w:pPr>
              <w:rPr>
                <w:rFonts w:hint="eastAsia"/>
                <w:color w:val="auto"/>
                <w:sz w:val="2"/>
                <w:szCs w:val="2"/>
                <w:highlight w:val="none"/>
                <w:lang w:eastAsia="zh-CN"/>
              </w:rPr>
            </w:pPr>
          </w:p>
        </w:tc>
        <w:tc>
          <w:tcPr>
            <w:tcW w:w="1415" w:type="dxa"/>
          </w:tcPr>
          <w:p w14:paraId="6A2CE87D">
            <w:pPr>
              <w:pStyle w:val="44"/>
              <w:spacing w:before="2"/>
              <w:jc w:val="left"/>
              <w:rPr>
                <w:rFonts w:hint="eastAsia" w:ascii="微软雅黑"/>
                <w:b/>
                <w:color w:val="auto"/>
                <w:sz w:val="13"/>
                <w:highlight w:val="none"/>
                <w:lang w:eastAsia="zh-CN"/>
              </w:rPr>
            </w:pPr>
          </w:p>
          <w:p w14:paraId="57DFFD2B">
            <w:pPr>
              <w:pStyle w:val="44"/>
              <w:spacing w:before="1" w:line="213" w:lineRule="auto"/>
              <w:ind w:left="602" w:right="60" w:hanging="524"/>
              <w:jc w:val="left"/>
              <w:rPr>
                <w:rFonts w:hint="eastAsia"/>
                <w:color w:val="auto"/>
                <w:sz w:val="21"/>
                <w:highlight w:val="none"/>
              </w:rPr>
            </w:pPr>
            <w:r>
              <w:rPr>
                <w:color w:val="auto"/>
                <w:sz w:val="21"/>
                <w:highlight w:val="none"/>
              </w:rPr>
              <w:t>乡村小规模学校</w:t>
            </w:r>
          </w:p>
        </w:tc>
        <w:tc>
          <w:tcPr>
            <w:tcW w:w="3259" w:type="dxa"/>
          </w:tcPr>
          <w:p w14:paraId="47003AD4">
            <w:pPr>
              <w:pStyle w:val="44"/>
              <w:spacing w:before="2"/>
              <w:jc w:val="left"/>
              <w:rPr>
                <w:rFonts w:hint="eastAsia" w:ascii="微软雅黑"/>
                <w:b/>
                <w:color w:val="auto"/>
                <w:sz w:val="13"/>
                <w:highlight w:val="none"/>
                <w:lang w:eastAsia="zh-CN"/>
              </w:rPr>
            </w:pPr>
          </w:p>
          <w:p w14:paraId="6EDDB98B">
            <w:pPr>
              <w:pStyle w:val="44"/>
              <w:spacing w:before="1" w:line="213" w:lineRule="auto"/>
              <w:ind w:left="1317" w:right="36" w:hanging="1261"/>
              <w:jc w:val="left"/>
              <w:rPr>
                <w:rFonts w:hint="eastAsia"/>
                <w:color w:val="auto"/>
                <w:sz w:val="21"/>
                <w:highlight w:val="none"/>
                <w:lang w:eastAsia="zh-CN"/>
              </w:rPr>
            </w:pPr>
            <w:r>
              <w:rPr>
                <w:color w:val="auto"/>
                <w:spacing w:val="-9"/>
                <w:sz w:val="21"/>
                <w:highlight w:val="none"/>
                <w:lang w:eastAsia="zh-CN"/>
              </w:rPr>
              <w:t xml:space="preserve">学生人数少于 </w:t>
            </w:r>
            <w:r>
              <w:rPr>
                <w:rFonts w:ascii="Times New Roman" w:eastAsia="Times New Roman"/>
                <w:color w:val="auto"/>
                <w:sz w:val="21"/>
                <w:highlight w:val="none"/>
                <w:lang w:eastAsia="zh-CN"/>
              </w:rPr>
              <w:t xml:space="preserve">200 </w:t>
            </w:r>
            <w:r>
              <w:rPr>
                <w:color w:val="auto"/>
                <w:spacing w:val="-5"/>
                <w:sz w:val="21"/>
                <w:highlight w:val="none"/>
                <w:lang w:eastAsia="zh-CN"/>
              </w:rPr>
              <w:t>人的中小学校和</w:t>
            </w:r>
            <w:r>
              <w:rPr>
                <w:color w:val="auto"/>
                <w:sz w:val="21"/>
                <w:highlight w:val="none"/>
                <w:lang w:eastAsia="zh-CN"/>
              </w:rPr>
              <w:t>教学点</w:t>
            </w:r>
          </w:p>
        </w:tc>
        <w:tc>
          <w:tcPr>
            <w:tcW w:w="1276" w:type="dxa"/>
          </w:tcPr>
          <w:p w14:paraId="4B24043A">
            <w:pPr>
              <w:pStyle w:val="44"/>
              <w:spacing w:before="7"/>
              <w:jc w:val="left"/>
              <w:rPr>
                <w:rFonts w:hint="eastAsia" w:ascii="微软雅黑"/>
                <w:b/>
                <w:color w:val="auto"/>
                <w:sz w:val="18"/>
                <w:highlight w:val="none"/>
                <w:lang w:eastAsia="zh-CN"/>
              </w:rPr>
            </w:pPr>
          </w:p>
          <w:p w14:paraId="3FC3134A">
            <w:pPr>
              <w:pStyle w:val="44"/>
              <w:ind w:left="15"/>
              <w:rPr>
                <w:rFonts w:hint="eastAsia"/>
                <w:color w:val="auto"/>
                <w:sz w:val="21"/>
                <w:highlight w:val="none"/>
              </w:rPr>
            </w:pPr>
            <w:r>
              <w:rPr>
                <w:color w:val="auto"/>
                <w:sz w:val="21"/>
                <w:highlight w:val="none"/>
              </w:rPr>
              <w:t>—</w:t>
            </w:r>
          </w:p>
        </w:tc>
        <w:tc>
          <w:tcPr>
            <w:tcW w:w="3220" w:type="dxa"/>
            <w:vMerge w:val="continue"/>
            <w:tcBorders>
              <w:top w:val="nil"/>
            </w:tcBorders>
          </w:tcPr>
          <w:p w14:paraId="39C7DF24">
            <w:pPr>
              <w:rPr>
                <w:rFonts w:hint="eastAsia"/>
                <w:color w:val="auto"/>
                <w:sz w:val="2"/>
                <w:szCs w:val="2"/>
                <w:highlight w:val="none"/>
              </w:rPr>
            </w:pPr>
          </w:p>
        </w:tc>
      </w:tr>
      <w:tr w14:paraId="18291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564" w:type="dxa"/>
            <w:vMerge w:val="restart"/>
          </w:tcPr>
          <w:p w14:paraId="7342754D">
            <w:pPr>
              <w:pStyle w:val="44"/>
              <w:spacing w:before="17"/>
              <w:jc w:val="left"/>
              <w:rPr>
                <w:rFonts w:hint="eastAsia" w:ascii="微软雅黑"/>
                <w:b/>
                <w:color w:val="auto"/>
                <w:sz w:val="26"/>
                <w:highlight w:val="none"/>
              </w:rPr>
            </w:pPr>
          </w:p>
          <w:p w14:paraId="579AFE49">
            <w:pPr>
              <w:pStyle w:val="44"/>
              <w:spacing w:line="213" w:lineRule="auto"/>
              <w:ind w:left="71" w:right="57"/>
              <w:jc w:val="both"/>
              <w:rPr>
                <w:rFonts w:hint="eastAsia"/>
                <w:color w:val="auto"/>
                <w:sz w:val="21"/>
                <w:highlight w:val="none"/>
              </w:rPr>
            </w:pPr>
            <w:r>
              <w:rPr>
                <w:color w:val="auto"/>
                <w:sz w:val="21"/>
                <w:highlight w:val="none"/>
              </w:rPr>
              <w:t>社会福利设施</w:t>
            </w:r>
          </w:p>
        </w:tc>
        <w:tc>
          <w:tcPr>
            <w:tcW w:w="1415" w:type="dxa"/>
          </w:tcPr>
          <w:p w14:paraId="701A2556">
            <w:pPr>
              <w:pStyle w:val="44"/>
              <w:spacing w:before="104"/>
              <w:ind w:left="58" w:right="44"/>
              <w:rPr>
                <w:rFonts w:hint="eastAsia"/>
                <w:color w:val="auto"/>
                <w:sz w:val="21"/>
                <w:highlight w:val="none"/>
              </w:rPr>
            </w:pPr>
            <w:r>
              <w:rPr>
                <w:color w:val="auto"/>
                <w:sz w:val="21"/>
                <w:highlight w:val="none"/>
              </w:rPr>
              <w:t>老年活动室</w:t>
            </w:r>
          </w:p>
        </w:tc>
        <w:tc>
          <w:tcPr>
            <w:tcW w:w="3259" w:type="dxa"/>
          </w:tcPr>
          <w:p w14:paraId="361746E2">
            <w:pPr>
              <w:pStyle w:val="44"/>
              <w:spacing w:before="104"/>
              <w:ind w:left="53" w:right="36"/>
              <w:rPr>
                <w:rFonts w:hint="eastAsia"/>
                <w:color w:val="auto"/>
                <w:sz w:val="21"/>
                <w:highlight w:val="none"/>
                <w:lang w:eastAsia="zh-CN"/>
              </w:rPr>
            </w:pPr>
            <w:r>
              <w:rPr>
                <w:color w:val="auto"/>
                <w:sz w:val="21"/>
                <w:highlight w:val="none"/>
                <w:lang w:eastAsia="zh-CN"/>
              </w:rPr>
              <w:t>老年人交流、文娱活动等</w:t>
            </w:r>
          </w:p>
        </w:tc>
        <w:tc>
          <w:tcPr>
            <w:tcW w:w="1276" w:type="dxa"/>
          </w:tcPr>
          <w:p w14:paraId="360722A5">
            <w:pPr>
              <w:pStyle w:val="44"/>
              <w:spacing w:before="2" w:line="240" w:lineRule="exact"/>
              <w:ind w:left="499" w:right="114" w:hanging="368"/>
              <w:jc w:val="left"/>
              <w:rPr>
                <w:rFonts w:ascii="Times New Roman" w:eastAsia="Times New Roman"/>
                <w:color w:val="auto"/>
                <w:sz w:val="21"/>
                <w:highlight w:val="none"/>
              </w:rPr>
            </w:pPr>
            <w:r>
              <w:rPr>
                <w:rFonts w:ascii="Times New Roman" w:eastAsia="Times New Roman"/>
                <w:color w:val="auto"/>
                <w:sz w:val="21"/>
                <w:highlight w:val="none"/>
              </w:rPr>
              <w:t>200</w:t>
            </w:r>
            <w:r>
              <w:rPr>
                <w:rFonts w:hint="eastAsia" w:ascii="Times New Roman" w:eastAsia="宋体"/>
                <w:color w:val="auto"/>
                <w:sz w:val="21"/>
                <w:highlight w:val="none"/>
                <w:lang w:eastAsia="zh-CN"/>
              </w:rPr>
              <w:t>（</w:t>
            </w:r>
            <w:r>
              <w:rPr>
                <w:color w:val="auto"/>
                <w:sz w:val="21"/>
                <w:highlight w:val="none"/>
              </w:rPr>
              <w:t>建筑面积</w:t>
            </w:r>
            <w:r>
              <w:rPr>
                <w:rFonts w:ascii="Times New Roman" w:eastAsia="Times New Roman"/>
                <w:color w:val="auto"/>
                <w:sz w:val="21"/>
                <w:highlight w:val="none"/>
              </w:rPr>
              <w:t>)</w:t>
            </w:r>
          </w:p>
        </w:tc>
        <w:tc>
          <w:tcPr>
            <w:tcW w:w="3220" w:type="dxa"/>
          </w:tcPr>
          <w:p w14:paraId="4AC8E5EA">
            <w:pPr>
              <w:pStyle w:val="44"/>
              <w:spacing w:before="104"/>
              <w:ind w:left="122" w:right="107"/>
              <w:rPr>
                <w:rFonts w:hint="eastAsia"/>
                <w:color w:val="auto"/>
                <w:sz w:val="21"/>
                <w:highlight w:val="none"/>
                <w:lang w:eastAsia="zh-CN"/>
              </w:rPr>
            </w:pPr>
            <w:r>
              <w:rPr>
                <w:color w:val="auto"/>
                <w:sz w:val="21"/>
                <w:highlight w:val="none"/>
                <w:lang w:eastAsia="zh-CN"/>
              </w:rPr>
              <w:t>安排在建筑首层并设专用</w:t>
            </w:r>
            <w:r>
              <w:rPr>
                <w:rFonts w:hint="eastAsia"/>
                <w:color w:val="auto"/>
                <w:sz w:val="21"/>
                <w:highlight w:val="none"/>
                <w:lang w:eastAsia="zh-CN"/>
              </w:rPr>
              <w:t>出入口</w:t>
            </w:r>
          </w:p>
        </w:tc>
      </w:tr>
      <w:tr w14:paraId="28409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564" w:type="dxa"/>
            <w:vMerge w:val="continue"/>
            <w:tcBorders>
              <w:top w:val="nil"/>
            </w:tcBorders>
          </w:tcPr>
          <w:p w14:paraId="7A7A7862">
            <w:pPr>
              <w:rPr>
                <w:rFonts w:hint="eastAsia"/>
                <w:color w:val="auto"/>
                <w:sz w:val="2"/>
                <w:szCs w:val="2"/>
                <w:highlight w:val="none"/>
                <w:lang w:eastAsia="zh-CN"/>
              </w:rPr>
            </w:pPr>
          </w:p>
        </w:tc>
        <w:tc>
          <w:tcPr>
            <w:tcW w:w="1415" w:type="dxa"/>
          </w:tcPr>
          <w:p w14:paraId="47693B37">
            <w:pPr>
              <w:pStyle w:val="44"/>
              <w:jc w:val="left"/>
              <w:rPr>
                <w:rFonts w:hint="eastAsia" w:ascii="微软雅黑"/>
                <w:b/>
                <w:color w:val="auto"/>
                <w:sz w:val="12"/>
                <w:highlight w:val="none"/>
                <w:lang w:eastAsia="zh-CN"/>
              </w:rPr>
            </w:pPr>
          </w:p>
          <w:p w14:paraId="2B119150">
            <w:pPr>
              <w:pStyle w:val="44"/>
              <w:ind w:left="58" w:right="44"/>
              <w:rPr>
                <w:rFonts w:hint="eastAsia"/>
                <w:color w:val="auto"/>
                <w:sz w:val="21"/>
                <w:highlight w:val="none"/>
              </w:rPr>
            </w:pPr>
            <w:r>
              <w:rPr>
                <w:color w:val="auto"/>
                <w:sz w:val="21"/>
                <w:highlight w:val="none"/>
              </w:rPr>
              <w:t>村级幸福院</w:t>
            </w:r>
          </w:p>
        </w:tc>
        <w:tc>
          <w:tcPr>
            <w:tcW w:w="3259" w:type="dxa"/>
          </w:tcPr>
          <w:p w14:paraId="5C0065DB">
            <w:pPr>
              <w:pStyle w:val="44"/>
              <w:spacing w:line="240" w:lineRule="exact"/>
              <w:ind w:left="56" w:right="36"/>
              <w:rPr>
                <w:rFonts w:hint="eastAsia"/>
                <w:color w:val="auto"/>
                <w:sz w:val="21"/>
                <w:highlight w:val="none"/>
                <w:lang w:eastAsia="zh-CN"/>
              </w:rPr>
            </w:pPr>
            <w:r>
              <w:rPr>
                <w:color w:val="auto"/>
                <w:sz w:val="21"/>
                <w:highlight w:val="none"/>
                <w:lang w:eastAsia="zh-CN"/>
              </w:rPr>
              <w:t>对自理、介助和介护老年人给予生活起居、餐饮服务、医疗保健、文化娱乐等综合服务</w:t>
            </w:r>
          </w:p>
        </w:tc>
        <w:tc>
          <w:tcPr>
            <w:tcW w:w="1276" w:type="dxa"/>
          </w:tcPr>
          <w:p w14:paraId="16505A74">
            <w:pPr>
              <w:pStyle w:val="44"/>
              <w:jc w:val="left"/>
              <w:rPr>
                <w:rFonts w:hint="eastAsia" w:ascii="微软雅黑"/>
                <w:b/>
                <w:color w:val="auto"/>
                <w:sz w:val="12"/>
                <w:highlight w:val="none"/>
                <w:lang w:eastAsia="zh-CN"/>
              </w:rPr>
            </w:pPr>
          </w:p>
          <w:p w14:paraId="23AACA17">
            <w:pPr>
              <w:pStyle w:val="44"/>
              <w:ind w:left="15"/>
              <w:rPr>
                <w:rFonts w:hint="eastAsia"/>
                <w:color w:val="auto"/>
                <w:sz w:val="21"/>
                <w:highlight w:val="none"/>
              </w:rPr>
            </w:pPr>
            <w:r>
              <w:rPr>
                <w:color w:val="auto"/>
                <w:sz w:val="21"/>
                <w:highlight w:val="none"/>
              </w:rPr>
              <w:t>—</w:t>
            </w:r>
          </w:p>
        </w:tc>
        <w:tc>
          <w:tcPr>
            <w:tcW w:w="3220" w:type="dxa"/>
          </w:tcPr>
          <w:p w14:paraId="6A17A5CD">
            <w:pPr>
              <w:pStyle w:val="44"/>
              <w:spacing w:before="125" w:line="213" w:lineRule="auto"/>
              <w:ind w:left="166" w:right="149"/>
              <w:jc w:val="left"/>
              <w:rPr>
                <w:rFonts w:hint="eastAsia"/>
                <w:color w:val="auto"/>
                <w:sz w:val="21"/>
                <w:highlight w:val="none"/>
                <w:lang w:eastAsia="zh-CN"/>
              </w:rPr>
            </w:pPr>
            <w:r>
              <w:rPr>
                <w:rFonts w:ascii="Times New Roman" w:eastAsia="Times New Roman"/>
                <w:color w:val="auto"/>
                <w:sz w:val="21"/>
                <w:highlight w:val="none"/>
                <w:lang w:eastAsia="zh-CN"/>
              </w:rPr>
              <w:t>1.</w:t>
            </w:r>
            <w:r>
              <w:rPr>
                <w:color w:val="auto"/>
                <w:sz w:val="21"/>
                <w:highlight w:val="none"/>
                <w:lang w:eastAsia="zh-CN"/>
              </w:rPr>
              <w:t>设于阳光充足、接近绿地的地段；</w:t>
            </w:r>
            <w:r>
              <w:rPr>
                <w:rFonts w:ascii="Times New Roman" w:eastAsia="Times New Roman"/>
                <w:color w:val="auto"/>
                <w:sz w:val="21"/>
                <w:highlight w:val="none"/>
                <w:lang w:eastAsia="zh-CN"/>
              </w:rPr>
              <w:t>2.</w:t>
            </w:r>
            <w:r>
              <w:rPr>
                <w:color w:val="auto"/>
                <w:sz w:val="21"/>
                <w:highlight w:val="none"/>
                <w:lang w:eastAsia="zh-CN"/>
              </w:rPr>
              <w:t>宜结合村庄活动中心设置</w:t>
            </w:r>
          </w:p>
        </w:tc>
      </w:tr>
      <w:tr w14:paraId="16928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vMerge w:val="continue"/>
            <w:tcBorders>
              <w:top w:val="nil"/>
            </w:tcBorders>
          </w:tcPr>
          <w:p w14:paraId="5086E860">
            <w:pPr>
              <w:rPr>
                <w:rFonts w:hint="eastAsia"/>
                <w:color w:val="auto"/>
                <w:sz w:val="2"/>
                <w:szCs w:val="2"/>
                <w:highlight w:val="none"/>
                <w:lang w:eastAsia="zh-CN"/>
              </w:rPr>
            </w:pPr>
          </w:p>
        </w:tc>
        <w:tc>
          <w:tcPr>
            <w:tcW w:w="1415" w:type="dxa"/>
          </w:tcPr>
          <w:p w14:paraId="628D9BDD">
            <w:pPr>
              <w:pStyle w:val="44"/>
              <w:spacing w:line="236" w:lineRule="exact"/>
              <w:ind w:left="59" w:right="43"/>
              <w:rPr>
                <w:rFonts w:hint="eastAsia"/>
                <w:color w:val="auto"/>
                <w:sz w:val="21"/>
                <w:highlight w:val="none"/>
              </w:rPr>
            </w:pPr>
            <w:r>
              <w:rPr>
                <w:color w:val="auto"/>
                <w:sz w:val="21"/>
                <w:highlight w:val="none"/>
              </w:rPr>
              <w:t>老年人日间照</w:t>
            </w:r>
          </w:p>
          <w:p w14:paraId="6DA16A30">
            <w:pPr>
              <w:pStyle w:val="44"/>
              <w:spacing w:line="223" w:lineRule="exact"/>
              <w:ind w:left="59" w:right="43"/>
              <w:rPr>
                <w:rFonts w:hint="eastAsia"/>
                <w:color w:val="auto"/>
                <w:sz w:val="21"/>
                <w:highlight w:val="none"/>
              </w:rPr>
            </w:pPr>
            <w:r>
              <w:rPr>
                <w:color w:val="auto"/>
                <w:sz w:val="21"/>
                <w:highlight w:val="none"/>
              </w:rPr>
              <w:t>料中心</w:t>
            </w:r>
          </w:p>
        </w:tc>
        <w:tc>
          <w:tcPr>
            <w:tcW w:w="3259" w:type="dxa"/>
          </w:tcPr>
          <w:p w14:paraId="449199FB">
            <w:pPr>
              <w:pStyle w:val="44"/>
              <w:spacing w:line="236" w:lineRule="exact"/>
              <w:ind w:left="51" w:right="36"/>
              <w:rPr>
                <w:rFonts w:hint="eastAsia"/>
                <w:color w:val="auto"/>
                <w:sz w:val="21"/>
                <w:highlight w:val="none"/>
                <w:lang w:eastAsia="zh-CN"/>
              </w:rPr>
            </w:pPr>
            <w:r>
              <w:rPr>
                <w:color w:val="auto"/>
                <w:sz w:val="21"/>
                <w:highlight w:val="none"/>
                <w:lang w:eastAsia="zh-CN"/>
              </w:rPr>
              <w:t>老年人日托服务，包括餐饮、文娱、健身、医疗保健等</w:t>
            </w:r>
          </w:p>
        </w:tc>
        <w:tc>
          <w:tcPr>
            <w:tcW w:w="1276" w:type="dxa"/>
          </w:tcPr>
          <w:p w14:paraId="20CCFDDD">
            <w:pPr>
              <w:pStyle w:val="44"/>
              <w:spacing w:line="236" w:lineRule="exact"/>
              <w:ind w:left="60" w:right="45"/>
              <w:rPr>
                <w:rFonts w:hint="eastAsia"/>
                <w:color w:val="auto"/>
                <w:sz w:val="21"/>
                <w:highlight w:val="none"/>
              </w:rPr>
            </w:pPr>
            <w:r>
              <w:rPr>
                <w:rFonts w:ascii="Times New Roman" w:eastAsia="Times New Roman"/>
                <w:color w:val="auto"/>
                <w:sz w:val="21"/>
                <w:highlight w:val="none"/>
              </w:rPr>
              <w:t>300</w:t>
            </w:r>
            <w:r>
              <w:rPr>
                <w:rFonts w:hint="eastAsia" w:ascii="Times New Roman" w:eastAsia="宋体"/>
                <w:color w:val="auto"/>
                <w:sz w:val="21"/>
                <w:highlight w:val="none"/>
                <w:lang w:eastAsia="zh-CN"/>
              </w:rPr>
              <w:t>（</w:t>
            </w:r>
            <w:r>
              <w:rPr>
                <w:color w:val="auto"/>
                <w:sz w:val="21"/>
                <w:highlight w:val="none"/>
              </w:rPr>
              <w:t>建筑面</w:t>
            </w:r>
          </w:p>
          <w:p w14:paraId="7333CC4B">
            <w:pPr>
              <w:pStyle w:val="44"/>
              <w:spacing w:line="223" w:lineRule="exact"/>
              <w:ind w:left="58" w:right="45"/>
              <w:rPr>
                <w:rFonts w:ascii="Times New Roman" w:eastAsia="Times New Roman"/>
                <w:color w:val="auto"/>
                <w:sz w:val="21"/>
                <w:highlight w:val="none"/>
              </w:rPr>
            </w:pPr>
            <w:r>
              <w:rPr>
                <w:color w:val="auto"/>
                <w:sz w:val="21"/>
                <w:highlight w:val="none"/>
              </w:rPr>
              <w:t>积</w:t>
            </w:r>
            <w:r>
              <w:rPr>
                <w:rFonts w:ascii="Times New Roman" w:eastAsia="Times New Roman"/>
                <w:color w:val="auto"/>
                <w:sz w:val="21"/>
                <w:highlight w:val="none"/>
              </w:rPr>
              <w:t>)</w:t>
            </w:r>
          </w:p>
        </w:tc>
        <w:tc>
          <w:tcPr>
            <w:tcW w:w="3220" w:type="dxa"/>
          </w:tcPr>
          <w:p w14:paraId="25313E40">
            <w:pPr>
              <w:pStyle w:val="44"/>
              <w:spacing w:line="236" w:lineRule="exact"/>
              <w:ind w:left="166"/>
              <w:jc w:val="left"/>
              <w:rPr>
                <w:rFonts w:hint="eastAsia"/>
                <w:color w:val="auto"/>
                <w:sz w:val="21"/>
                <w:highlight w:val="none"/>
                <w:lang w:eastAsia="zh-CN"/>
              </w:rPr>
            </w:pPr>
            <w:r>
              <w:rPr>
                <w:rFonts w:ascii="Times New Roman" w:eastAsia="Times New Roman"/>
                <w:color w:val="auto"/>
                <w:sz w:val="21"/>
                <w:highlight w:val="none"/>
                <w:lang w:eastAsia="zh-CN"/>
              </w:rPr>
              <w:t>1.</w:t>
            </w:r>
            <w:r>
              <w:rPr>
                <w:color w:val="auto"/>
                <w:spacing w:val="-3"/>
                <w:sz w:val="21"/>
                <w:highlight w:val="none"/>
                <w:lang w:eastAsia="zh-CN"/>
              </w:rPr>
              <w:t>安排在建筑首层并设专用出入</w:t>
            </w:r>
          </w:p>
          <w:p w14:paraId="6D2DF164">
            <w:pPr>
              <w:pStyle w:val="44"/>
              <w:spacing w:line="223" w:lineRule="exact"/>
              <w:ind w:left="166"/>
              <w:jc w:val="left"/>
              <w:rPr>
                <w:rFonts w:hint="eastAsia"/>
                <w:color w:val="auto"/>
                <w:sz w:val="21"/>
                <w:highlight w:val="none"/>
                <w:lang w:eastAsia="zh-CN"/>
              </w:rPr>
            </w:pPr>
            <w:r>
              <w:rPr>
                <w:color w:val="auto"/>
                <w:spacing w:val="-1"/>
                <w:sz w:val="21"/>
                <w:highlight w:val="none"/>
                <w:lang w:eastAsia="zh-CN"/>
              </w:rPr>
              <w:t>口；</w:t>
            </w:r>
            <w:r>
              <w:rPr>
                <w:rFonts w:ascii="Times New Roman" w:eastAsia="Times New Roman"/>
                <w:color w:val="auto"/>
                <w:spacing w:val="-1"/>
                <w:sz w:val="21"/>
                <w:highlight w:val="none"/>
                <w:lang w:eastAsia="zh-CN"/>
              </w:rPr>
              <w:t>2.</w:t>
            </w:r>
            <w:r>
              <w:rPr>
                <w:color w:val="auto"/>
                <w:spacing w:val="-3"/>
                <w:sz w:val="21"/>
                <w:highlight w:val="none"/>
                <w:lang w:eastAsia="zh-CN"/>
              </w:rPr>
              <w:t>宜结合村庄活动中心设置</w:t>
            </w:r>
          </w:p>
        </w:tc>
      </w:tr>
      <w:tr w14:paraId="583C6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vMerge w:val="restart"/>
          </w:tcPr>
          <w:p w14:paraId="0E991965">
            <w:pPr>
              <w:pStyle w:val="44"/>
              <w:jc w:val="left"/>
              <w:rPr>
                <w:rFonts w:hint="eastAsia" w:ascii="微软雅黑"/>
                <w:b/>
                <w:color w:val="auto"/>
                <w:sz w:val="20"/>
                <w:highlight w:val="none"/>
                <w:lang w:eastAsia="zh-CN"/>
              </w:rPr>
            </w:pPr>
          </w:p>
          <w:p w14:paraId="226FF762">
            <w:pPr>
              <w:pStyle w:val="44"/>
              <w:jc w:val="left"/>
              <w:rPr>
                <w:rFonts w:hint="eastAsia" w:ascii="微软雅黑"/>
                <w:b/>
                <w:color w:val="auto"/>
                <w:sz w:val="20"/>
                <w:highlight w:val="none"/>
                <w:lang w:eastAsia="zh-CN"/>
              </w:rPr>
            </w:pPr>
          </w:p>
          <w:p w14:paraId="3C722D37">
            <w:pPr>
              <w:pStyle w:val="44"/>
              <w:jc w:val="left"/>
              <w:rPr>
                <w:rFonts w:hint="eastAsia" w:ascii="微软雅黑"/>
                <w:b/>
                <w:color w:val="auto"/>
                <w:sz w:val="20"/>
                <w:highlight w:val="none"/>
                <w:lang w:eastAsia="zh-CN"/>
              </w:rPr>
            </w:pPr>
          </w:p>
          <w:p w14:paraId="033D5CD1">
            <w:pPr>
              <w:pStyle w:val="44"/>
              <w:jc w:val="left"/>
              <w:rPr>
                <w:rFonts w:hint="eastAsia" w:ascii="微软雅黑"/>
                <w:b/>
                <w:color w:val="auto"/>
                <w:sz w:val="20"/>
                <w:highlight w:val="none"/>
                <w:lang w:eastAsia="zh-CN"/>
              </w:rPr>
            </w:pPr>
          </w:p>
          <w:p w14:paraId="641E7C7D">
            <w:pPr>
              <w:pStyle w:val="44"/>
              <w:spacing w:before="3"/>
              <w:jc w:val="left"/>
              <w:rPr>
                <w:rFonts w:hint="eastAsia" w:ascii="微软雅黑"/>
                <w:b/>
                <w:color w:val="auto"/>
                <w:sz w:val="14"/>
                <w:highlight w:val="none"/>
                <w:lang w:eastAsia="zh-CN"/>
              </w:rPr>
            </w:pPr>
          </w:p>
          <w:p w14:paraId="009ABAF5">
            <w:pPr>
              <w:pStyle w:val="44"/>
              <w:spacing w:line="213" w:lineRule="auto"/>
              <w:ind w:left="71" w:right="57"/>
              <w:jc w:val="both"/>
              <w:rPr>
                <w:rFonts w:hint="eastAsia"/>
                <w:color w:val="auto"/>
                <w:sz w:val="21"/>
                <w:highlight w:val="none"/>
              </w:rPr>
            </w:pPr>
            <w:r>
              <w:rPr>
                <w:color w:val="auto"/>
                <w:sz w:val="21"/>
                <w:highlight w:val="none"/>
              </w:rPr>
              <w:t>市政公用设施</w:t>
            </w:r>
          </w:p>
        </w:tc>
        <w:tc>
          <w:tcPr>
            <w:tcW w:w="1415" w:type="dxa"/>
          </w:tcPr>
          <w:p w14:paraId="4B02F091">
            <w:pPr>
              <w:pStyle w:val="44"/>
              <w:spacing w:before="101"/>
              <w:ind w:left="58" w:right="44"/>
              <w:rPr>
                <w:rFonts w:hint="eastAsia"/>
                <w:color w:val="auto"/>
                <w:sz w:val="21"/>
                <w:highlight w:val="none"/>
              </w:rPr>
            </w:pPr>
            <w:r>
              <w:rPr>
                <w:color w:val="auto"/>
                <w:sz w:val="21"/>
                <w:highlight w:val="none"/>
              </w:rPr>
              <w:t>给水设施</w:t>
            </w:r>
          </w:p>
        </w:tc>
        <w:tc>
          <w:tcPr>
            <w:tcW w:w="3259" w:type="dxa"/>
          </w:tcPr>
          <w:p w14:paraId="389CDF4C">
            <w:pPr>
              <w:pStyle w:val="44"/>
              <w:spacing w:line="236" w:lineRule="exact"/>
              <w:ind w:left="37" w:right="20"/>
              <w:rPr>
                <w:rFonts w:hint="eastAsia"/>
                <w:color w:val="auto"/>
                <w:sz w:val="21"/>
                <w:highlight w:val="none"/>
              </w:rPr>
            </w:pPr>
            <w:r>
              <w:rPr>
                <w:color w:val="auto"/>
                <w:sz w:val="21"/>
                <w:highlight w:val="none"/>
                <w:lang w:eastAsia="zh-CN"/>
              </w:rPr>
              <w:t>包括水源、取水构筑物、调蓄构筑</w:t>
            </w:r>
            <w:r>
              <w:rPr>
                <w:color w:val="auto"/>
                <w:sz w:val="21"/>
                <w:highlight w:val="none"/>
              </w:rPr>
              <w:t>物、泵站等设施</w:t>
            </w:r>
          </w:p>
        </w:tc>
        <w:tc>
          <w:tcPr>
            <w:tcW w:w="1276" w:type="dxa"/>
          </w:tcPr>
          <w:p w14:paraId="752F3DF9">
            <w:pPr>
              <w:pStyle w:val="44"/>
              <w:spacing w:before="101"/>
              <w:ind w:left="15"/>
              <w:rPr>
                <w:rFonts w:hint="eastAsia"/>
                <w:color w:val="auto"/>
                <w:sz w:val="21"/>
                <w:highlight w:val="none"/>
              </w:rPr>
            </w:pPr>
            <w:r>
              <w:rPr>
                <w:color w:val="auto"/>
                <w:sz w:val="21"/>
                <w:highlight w:val="none"/>
              </w:rPr>
              <w:t>—</w:t>
            </w:r>
          </w:p>
        </w:tc>
        <w:tc>
          <w:tcPr>
            <w:tcW w:w="3220" w:type="dxa"/>
          </w:tcPr>
          <w:p w14:paraId="306971B8">
            <w:pPr>
              <w:pStyle w:val="44"/>
              <w:spacing w:before="101"/>
              <w:ind w:left="12"/>
              <w:rPr>
                <w:rFonts w:hint="eastAsia"/>
                <w:color w:val="auto"/>
                <w:sz w:val="21"/>
                <w:highlight w:val="none"/>
              </w:rPr>
            </w:pPr>
            <w:r>
              <w:rPr>
                <w:color w:val="auto"/>
                <w:sz w:val="21"/>
                <w:highlight w:val="none"/>
              </w:rPr>
              <w:t>—</w:t>
            </w:r>
          </w:p>
        </w:tc>
      </w:tr>
      <w:tr w14:paraId="07C64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64" w:type="dxa"/>
            <w:vMerge w:val="continue"/>
            <w:tcBorders>
              <w:top w:val="nil"/>
            </w:tcBorders>
          </w:tcPr>
          <w:p w14:paraId="2068DF07">
            <w:pPr>
              <w:rPr>
                <w:rFonts w:hint="eastAsia"/>
                <w:color w:val="auto"/>
                <w:sz w:val="2"/>
                <w:szCs w:val="2"/>
                <w:highlight w:val="none"/>
              </w:rPr>
            </w:pPr>
          </w:p>
        </w:tc>
        <w:tc>
          <w:tcPr>
            <w:tcW w:w="1415" w:type="dxa"/>
          </w:tcPr>
          <w:p w14:paraId="7240D84C">
            <w:pPr>
              <w:pStyle w:val="44"/>
              <w:spacing w:line="220" w:lineRule="exact"/>
              <w:ind w:left="57" w:right="44"/>
              <w:rPr>
                <w:rFonts w:hint="eastAsia"/>
                <w:color w:val="auto"/>
                <w:sz w:val="21"/>
                <w:highlight w:val="none"/>
              </w:rPr>
            </w:pPr>
            <w:r>
              <w:rPr>
                <w:color w:val="auto"/>
                <w:sz w:val="21"/>
                <w:highlight w:val="none"/>
              </w:rPr>
              <w:t>污水处理设施</w:t>
            </w:r>
          </w:p>
        </w:tc>
        <w:tc>
          <w:tcPr>
            <w:tcW w:w="3259" w:type="dxa"/>
          </w:tcPr>
          <w:p w14:paraId="3CB6C3C3">
            <w:pPr>
              <w:pStyle w:val="44"/>
              <w:spacing w:line="220" w:lineRule="exact"/>
              <w:ind w:left="37" w:right="20"/>
              <w:rPr>
                <w:rFonts w:hint="eastAsia"/>
                <w:color w:val="auto"/>
                <w:sz w:val="21"/>
                <w:highlight w:val="none"/>
                <w:lang w:eastAsia="zh-CN"/>
              </w:rPr>
            </w:pPr>
            <w:r>
              <w:rPr>
                <w:color w:val="auto"/>
                <w:sz w:val="21"/>
                <w:highlight w:val="none"/>
                <w:lang w:eastAsia="zh-CN"/>
              </w:rPr>
              <w:t>对农村生活污水进行处理的构筑物</w:t>
            </w:r>
          </w:p>
        </w:tc>
        <w:tc>
          <w:tcPr>
            <w:tcW w:w="1276" w:type="dxa"/>
          </w:tcPr>
          <w:p w14:paraId="4A80D5E6">
            <w:pPr>
              <w:pStyle w:val="44"/>
              <w:spacing w:line="220" w:lineRule="exact"/>
              <w:ind w:left="15"/>
              <w:rPr>
                <w:rFonts w:hint="eastAsia"/>
                <w:color w:val="auto"/>
                <w:sz w:val="21"/>
                <w:highlight w:val="none"/>
              </w:rPr>
            </w:pPr>
            <w:r>
              <w:rPr>
                <w:color w:val="auto"/>
                <w:sz w:val="21"/>
                <w:highlight w:val="none"/>
              </w:rPr>
              <w:t>—</w:t>
            </w:r>
          </w:p>
        </w:tc>
        <w:tc>
          <w:tcPr>
            <w:tcW w:w="3220" w:type="dxa"/>
          </w:tcPr>
          <w:p w14:paraId="4B9AAC06">
            <w:pPr>
              <w:pStyle w:val="44"/>
              <w:spacing w:line="220" w:lineRule="exact"/>
              <w:ind w:left="12"/>
              <w:rPr>
                <w:rFonts w:hint="eastAsia"/>
                <w:color w:val="auto"/>
                <w:sz w:val="21"/>
                <w:highlight w:val="none"/>
              </w:rPr>
            </w:pPr>
            <w:r>
              <w:rPr>
                <w:color w:val="auto"/>
                <w:sz w:val="21"/>
                <w:highlight w:val="none"/>
              </w:rPr>
              <w:t>—</w:t>
            </w:r>
          </w:p>
        </w:tc>
      </w:tr>
      <w:tr w14:paraId="3DF99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64" w:type="dxa"/>
            <w:vMerge w:val="continue"/>
            <w:tcBorders>
              <w:top w:val="nil"/>
            </w:tcBorders>
          </w:tcPr>
          <w:p w14:paraId="5CF90678">
            <w:pPr>
              <w:rPr>
                <w:rFonts w:hint="eastAsia"/>
                <w:color w:val="auto"/>
                <w:sz w:val="2"/>
                <w:szCs w:val="2"/>
                <w:highlight w:val="none"/>
              </w:rPr>
            </w:pPr>
          </w:p>
        </w:tc>
        <w:tc>
          <w:tcPr>
            <w:tcW w:w="1415" w:type="dxa"/>
          </w:tcPr>
          <w:p w14:paraId="5879FE56">
            <w:pPr>
              <w:pStyle w:val="44"/>
              <w:spacing w:line="220" w:lineRule="exact"/>
              <w:ind w:left="55" w:right="44"/>
              <w:rPr>
                <w:rFonts w:hint="eastAsia"/>
                <w:color w:val="auto"/>
                <w:sz w:val="21"/>
                <w:highlight w:val="none"/>
              </w:rPr>
            </w:pPr>
            <w:r>
              <w:rPr>
                <w:color w:val="auto"/>
                <w:sz w:val="21"/>
                <w:highlight w:val="none"/>
              </w:rPr>
              <w:t>供电设施</w:t>
            </w:r>
          </w:p>
        </w:tc>
        <w:tc>
          <w:tcPr>
            <w:tcW w:w="3259" w:type="dxa"/>
          </w:tcPr>
          <w:p w14:paraId="5B1F13CA">
            <w:pPr>
              <w:pStyle w:val="44"/>
              <w:spacing w:line="220" w:lineRule="exact"/>
              <w:ind w:left="13"/>
              <w:rPr>
                <w:rFonts w:hint="eastAsia"/>
                <w:color w:val="auto"/>
                <w:sz w:val="21"/>
                <w:highlight w:val="none"/>
              </w:rPr>
            </w:pPr>
            <w:r>
              <w:rPr>
                <w:color w:val="auto"/>
                <w:sz w:val="21"/>
                <w:highlight w:val="none"/>
              </w:rPr>
              <w:t>—</w:t>
            </w:r>
          </w:p>
        </w:tc>
        <w:tc>
          <w:tcPr>
            <w:tcW w:w="1276" w:type="dxa"/>
          </w:tcPr>
          <w:p w14:paraId="52471176">
            <w:pPr>
              <w:pStyle w:val="44"/>
              <w:spacing w:line="220" w:lineRule="exact"/>
              <w:ind w:left="15"/>
              <w:rPr>
                <w:rFonts w:hint="eastAsia"/>
                <w:color w:val="auto"/>
                <w:sz w:val="21"/>
                <w:highlight w:val="none"/>
              </w:rPr>
            </w:pPr>
            <w:r>
              <w:rPr>
                <w:color w:val="auto"/>
                <w:sz w:val="21"/>
                <w:highlight w:val="none"/>
              </w:rPr>
              <w:t>—</w:t>
            </w:r>
          </w:p>
        </w:tc>
        <w:tc>
          <w:tcPr>
            <w:tcW w:w="3220" w:type="dxa"/>
          </w:tcPr>
          <w:p w14:paraId="0B75B6FC">
            <w:pPr>
              <w:pStyle w:val="44"/>
              <w:spacing w:line="220" w:lineRule="exact"/>
              <w:ind w:left="12"/>
              <w:rPr>
                <w:rFonts w:hint="eastAsia"/>
                <w:color w:val="auto"/>
                <w:sz w:val="21"/>
                <w:highlight w:val="none"/>
              </w:rPr>
            </w:pPr>
            <w:r>
              <w:rPr>
                <w:color w:val="auto"/>
                <w:sz w:val="21"/>
                <w:highlight w:val="none"/>
              </w:rPr>
              <w:t>—</w:t>
            </w:r>
          </w:p>
        </w:tc>
      </w:tr>
      <w:tr w14:paraId="71356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564" w:type="dxa"/>
            <w:vMerge w:val="continue"/>
            <w:tcBorders>
              <w:top w:val="nil"/>
            </w:tcBorders>
          </w:tcPr>
          <w:p w14:paraId="2A1EE121">
            <w:pPr>
              <w:rPr>
                <w:rFonts w:hint="eastAsia"/>
                <w:color w:val="auto"/>
                <w:sz w:val="2"/>
                <w:szCs w:val="2"/>
                <w:highlight w:val="none"/>
              </w:rPr>
            </w:pPr>
          </w:p>
        </w:tc>
        <w:tc>
          <w:tcPr>
            <w:tcW w:w="1415" w:type="dxa"/>
          </w:tcPr>
          <w:p w14:paraId="7DAF8394">
            <w:pPr>
              <w:pStyle w:val="44"/>
              <w:spacing w:line="222" w:lineRule="exact"/>
              <w:ind w:left="58" w:right="44"/>
              <w:rPr>
                <w:rFonts w:hint="eastAsia"/>
                <w:color w:val="auto"/>
                <w:sz w:val="21"/>
                <w:highlight w:val="none"/>
              </w:rPr>
            </w:pPr>
            <w:r>
              <w:rPr>
                <w:color w:val="auto"/>
                <w:sz w:val="21"/>
                <w:highlight w:val="none"/>
              </w:rPr>
              <w:t>电信设施</w:t>
            </w:r>
          </w:p>
        </w:tc>
        <w:tc>
          <w:tcPr>
            <w:tcW w:w="3259" w:type="dxa"/>
          </w:tcPr>
          <w:p w14:paraId="5157C7BD">
            <w:pPr>
              <w:pStyle w:val="44"/>
              <w:spacing w:line="222" w:lineRule="exact"/>
              <w:ind w:left="13"/>
              <w:rPr>
                <w:rFonts w:hint="eastAsia"/>
                <w:color w:val="auto"/>
                <w:sz w:val="21"/>
                <w:highlight w:val="none"/>
              </w:rPr>
            </w:pPr>
            <w:r>
              <w:rPr>
                <w:color w:val="auto"/>
                <w:sz w:val="21"/>
                <w:highlight w:val="none"/>
              </w:rPr>
              <w:t>—</w:t>
            </w:r>
          </w:p>
        </w:tc>
        <w:tc>
          <w:tcPr>
            <w:tcW w:w="1276" w:type="dxa"/>
          </w:tcPr>
          <w:p w14:paraId="2F968AFB">
            <w:pPr>
              <w:pStyle w:val="44"/>
              <w:spacing w:line="222" w:lineRule="exact"/>
              <w:ind w:left="15"/>
              <w:rPr>
                <w:rFonts w:hint="eastAsia"/>
                <w:color w:val="auto"/>
                <w:sz w:val="21"/>
                <w:highlight w:val="none"/>
              </w:rPr>
            </w:pPr>
            <w:r>
              <w:rPr>
                <w:color w:val="auto"/>
                <w:sz w:val="21"/>
                <w:highlight w:val="none"/>
              </w:rPr>
              <w:t>—</w:t>
            </w:r>
          </w:p>
        </w:tc>
        <w:tc>
          <w:tcPr>
            <w:tcW w:w="3220" w:type="dxa"/>
          </w:tcPr>
          <w:p w14:paraId="3D5E998C">
            <w:pPr>
              <w:pStyle w:val="44"/>
              <w:spacing w:line="222" w:lineRule="exact"/>
              <w:ind w:left="12"/>
              <w:rPr>
                <w:rFonts w:hint="eastAsia"/>
                <w:color w:val="auto"/>
                <w:sz w:val="21"/>
                <w:highlight w:val="none"/>
              </w:rPr>
            </w:pPr>
            <w:r>
              <w:rPr>
                <w:color w:val="auto"/>
                <w:sz w:val="21"/>
                <w:highlight w:val="none"/>
              </w:rPr>
              <w:t>—</w:t>
            </w:r>
          </w:p>
        </w:tc>
      </w:tr>
      <w:tr w14:paraId="1C74B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564" w:type="dxa"/>
            <w:vMerge w:val="continue"/>
            <w:tcBorders>
              <w:top w:val="nil"/>
            </w:tcBorders>
          </w:tcPr>
          <w:p w14:paraId="297B05D2">
            <w:pPr>
              <w:rPr>
                <w:rFonts w:hint="eastAsia"/>
                <w:color w:val="auto"/>
                <w:sz w:val="2"/>
                <w:szCs w:val="2"/>
                <w:highlight w:val="none"/>
              </w:rPr>
            </w:pPr>
          </w:p>
        </w:tc>
        <w:tc>
          <w:tcPr>
            <w:tcW w:w="1415" w:type="dxa"/>
          </w:tcPr>
          <w:p w14:paraId="6F9B1A22">
            <w:pPr>
              <w:pStyle w:val="44"/>
              <w:spacing w:before="1"/>
              <w:jc w:val="left"/>
              <w:rPr>
                <w:rFonts w:hint="eastAsia" w:ascii="微软雅黑"/>
                <w:b/>
                <w:color w:val="auto"/>
                <w:sz w:val="12"/>
                <w:highlight w:val="none"/>
              </w:rPr>
            </w:pPr>
          </w:p>
          <w:p w14:paraId="2C468A2E">
            <w:pPr>
              <w:pStyle w:val="44"/>
              <w:ind w:left="58" w:right="44"/>
              <w:rPr>
                <w:rFonts w:hint="eastAsia"/>
                <w:color w:val="auto"/>
                <w:sz w:val="21"/>
                <w:highlight w:val="none"/>
              </w:rPr>
            </w:pPr>
            <w:r>
              <w:rPr>
                <w:color w:val="auto"/>
                <w:sz w:val="21"/>
                <w:highlight w:val="none"/>
              </w:rPr>
              <w:t>垃圾收集点</w:t>
            </w:r>
          </w:p>
        </w:tc>
        <w:tc>
          <w:tcPr>
            <w:tcW w:w="3259" w:type="dxa"/>
          </w:tcPr>
          <w:p w14:paraId="292FDC0E">
            <w:pPr>
              <w:pStyle w:val="44"/>
              <w:spacing w:before="125" w:line="213" w:lineRule="auto"/>
              <w:ind w:left="1211" w:right="36" w:hanging="1155"/>
              <w:jc w:val="left"/>
              <w:rPr>
                <w:rFonts w:hint="eastAsia"/>
                <w:color w:val="auto"/>
                <w:sz w:val="21"/>
                <w:highlight w:val="none"/>
                <w:lang w:eastAsia="zh-CN"/>
              </w:rPr>
            </w:pPr>
            <w:r>
              <w:rPr>
                <w:color w:val="auto"/>
                <w:sz w:val="21"/>
                <w:highlight w:val="none"/>
                <w:lang w:eastAsia="zh-CN"/>
              </w:rPr>
              <w:t>实现垃圾分类化、容器化、密闭化和机械化</w:t>
            </w:r>
          </w:p>
        </w:tc>
        <w:tc>
          <w:tcPr>
            <w:tcW w:w="1276" w:type="dxa"/>
          </w:tcPr>
          <w:p w14:paraId="2C19DAA8">
            <w:pPr>
              <w:pStyle w:val="44"/>
              <w:spacing w:before="1"/>
              <w:jc w:val="left"/>
              <w:rPr>
                <w:rFonts w:hint="eastAsia" w:ascii="微软雅黑"/>
                <w:b/>
                <w:color w:val="auto"/>
                <w:sz w:val="12"/>
                <w:highlight w:val="none"/>
                <w:lang w:eastAsia="zh-CN"/>
              </w:rPr>
            </w:pPr>
          </w:p>
          <w:p w14:paraId="76E62323">
            <w:pPr>
              <w:pStyle w:val="44"/>
              <w:ind w:left="15"/>
              <w:rPr>
                <w:rFonts w:hint="eastAsia"/>
                <w:color w:val="auto"/>
                <w:sz w:val="21"/>
                <w:highlight w:val="none"/>
              </w:rPr>
            </w:pPr>
            <w:r>
              <w:rPr>
                <w:color w:val="auto"/>
                <w:sz w:val="21"/>
                <w:highlight w:val="none"/>
              </w:rPr>
              <w:t>—</w:t>
            </w:r>
          </w:p>
        </w:tc>
        <w:tc>
          <w:tcPr>
            <w:tcW w:w="3220" w:type="dxa"/>
          </w:tcPr>
          <w:p w14:paraId="75DEFA2F">
            <w:pPr>
              <w:pStyle w:val="44"/>
              <w:spacing w:line="237" w:lineRule="exact"/>
              <w:ind w:left="36"/>
              <w:jc w:val="left"/>
              <w:rPr>
                <w:rFonts w:hint="eastAsia"/>
                <w:color w:val="auto"/>
                <w:sz w:val="21"/>
                <w:highlight w:val="none"/>
                <w:lang w:eastAsia="zh-CN"/>
              </w:rPr>
            </w:pPr>
            <w:r>
              <w:rPr>
                <w:color w:val="auto"/>
                <w:sz w:val="21"/>
                <w:highlight w:val="none"/>
                <w:lang w:eastAsia="zh-CN"/>
              </w:rPr>
              <w:t>宜结合村庄活动中心设置，人、畜</w:t>
            </w:r>
          </w:p>
          <w:p w14:paraId="0630E2AD">
            <w:pPr>
              <w:pStyle w:val="44"/>
              <w:spacing w:before="3" w:line="240" w:lineRule="exact"/>
              <w:ind w:left="245" w:right="17" w:hanging="209"/>
              <w:jc w:val="left"/>
              <w:rPr>
                <w:rFonts w:hint="eastAsia"/>
                <w:color w:val="auto"/>
                <w:sz w:val="21"/>
                <w:highlight w:val="none"/>
                <w:lang w:eastAsia="zh-CN"/>
              </w:rPr>
            </w:pPr>
            <w:r>
              <w:rPr>
                <w:color w:val="auto"/>
                <w:sz w:val="21"/>
                <w:highlight w:val="none"/>
                <w:lang w:eastAsia="zh-CN"/>
              </w:rPr>
              <w:t>粪便应在无害化处理后进行农业应用，减少对水体和环境的污染</w:t>
            </w:r>
          </w:p>
        </w:tc>
      </w:tr>
      <w:tr w14:paraId="0A389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64" w:type="dxa"/>
            <w:vMerge w:val="continue"/>
            <w:tcBorders>
              <w:top w:val="nil"/>
            </w:tcBorders>
          </w:tcPr>
          <w:p w14:paraId="44595C9E">
            <w:pPr>
              <w:rPr>
                <w:rFonts w:hint="eastAsia"/>
                <w:color w:val="auto"/>
                <w:sz w:val="2"/>
                <w:szCs w:val="2"/>
                <w:highlight w:val="none"/>
                <w:lang w:eastAsia="zh-CN"/>
              </w:rPr>
            </w:pPr>
          </w:p>
        </w:tc>
        <w:tc>
          <w:tcPr>
            <w:tcW w:w="1415" w:type="dxa"/>
          </w:tcPr>
          <w:p w14:paraId="3342FE7A">
            <w:pPr>
              <w:pStyle w:val="44"/>
              <w:spacing w:line="220" w:lineRule="exact"/>
              <w:ind w:left="58" w:right="44"/>
              <w:rPr>
                <w:rFonts w:hint="eastAsia"/>
                <w:color w:val="auto"/>
                <w:sz w:val="21"/>
                <w:highlight w:val="none"/>
              </w:rPr>
            </w:pPr>
            <w:r>
              <w:rPr>
                <w:color w:val="auto"/>
                <w:sz w:val="21"/>
                <w:highlight w:val="none"/>
              </w:rPr>
              <w:t>公共厕所</w:t>
            </w:r>
          </w:p>
        </w:tc>
        <w:tc>
          <w:tcPr>
            <w:tcW w:w="3259" w:type="dxa"/>
          </w:tcPr>
          <w:p w14:paraId="2C29696F">
            <w:pPr>
              <w:pStyle w:val="44"/>
              <w:spacing w:line="220" w:lineRule="exact"/>
              <w:ind w:left="51" w:right="36"/>
              <w:rPr>
                <w:rFonts w:hint="eastAsia"/>
                <w:color w:val="auto"/>
                <w:sz w:val="21"/>
                <w:highlight w:val="none"/>
                <w:lang w:eastAsia="zh-CN"/>
              </w:rPr>
            </w:pPr>
            <w:r>
              <w:rPr>
                <w:color w:val="auto"/>
                <w:sz w:val="21"/>
                <w:highlight w:val="none"/>
                <w:lang w:eastAsia="zh-CN"/>
              </w:rPr>
              <w:t>农民和流动人口共同使用的厕所</w:t>
            </w:r>
          </w:p>
        </w:tc>
        <w:tc>
          <w:tcPr>
            <w:tcW w:w="1276" w:type="dxa"/>
          </w:tcPr>
          <w:p w14:paraId="4BBE9C5E">
            <w:pPr>
              <w:pStyle w:val="44"/>
              <w:spacing w:line="220" w:lineRule="exact"/>
              <w:ind w:left="15"/>
              <w:rPr>
                <w:rFonts w:hint="eastAsia"/>
                <w:color w:val="auto"/>
                <w:sz w:val="21"/>
                <w:highlight w:val="none"/>
              </w:rPr>
            </w:pPr>
            <w:r>
              <w:rPr>
                <w:color w:val="auto"/>
                <w:sz w:val="21"/>
                <w:highlight w:val="none"/>
              </w:rPr>
              <w:t>—</w:t>
            </w:r>
          </w:p>
        </w:tc>
        <w:tc>
          <w:tcPr>
            <w:tcW w:w="3220" w:type="dxa"/>
          </w:tcPr>
          <w:p w14:paraId="6A81A234">
            <w:pPr>
              <w:pStyle w:val="44"/>
              <w:spacing w:line="220" w:lineRule="exact"/>
              <w:ind w:left="122" w:right="105"/>
              <w:rPr>
                <w:rFonts w:hint="eastAsia"/>
                <w:color w:val="auto"/>
                <w:sz w:val="21"/>
                <w:highlight w:val="none"/>
                <w:lang w:eastAsia="zh-CN"/>
              </w:rPr>
            </w:pPr>
            <w:r>
              <w:rPr>
                <w:color w:val="auto"/>
                <w:sz w:val="21"/>
                <w:highlight w:val="none"/>
                <w:lang w:eastAsia="zh-CN"/>
              </w:rPr>
              <w:t>不应建在饮用水源上游</w:t>
            </w:r>
          </w:p>
        </w:tc>
      </w:tr>
      <w:tr w14:paraId="30049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564" w:type="dxa"/>
            <w:vMerge w:val="continue"/>
            <w:tcBorders>
              <w:top w:val="nil"/>
            </w:tcBorders>
          </w:tcPr>
          <w:p w14:paraId="39592472">
            <w:pPr>
              <w:rPr>
                <w:rFonts w:hint="eastAsia"/>
                <w:color w:val="auto"/>
                <w:sz w:val="2"/>
                <w:szCs w:val="2"/>
                <w:highlight w:val="none"/>
                <w:lang w:eastAsia="zh-CN"/>
              </w:rPr>
            </w:pPr>
          </w:p>
        </w:tc>
        <w:tc>
          <w:tcPr>
            <w:tcW w:w="1415" w:type="dxa"/>
          </w:tcPr>
          <w:p w14:paraId="2BD7F05F">
            <w:pPr>
              <w:pStyle w:val="44"/>
              <w:jc w:val="left"/>
              <w:rPr>
                <w:rFonts w:hint="eastAsia" w:ascii="微软雅黑"/>
                <w:b/>
                <w:color w:val="auto"/>
                <w:sz w:val="12"/>
                <w:highlight w:val="none"/>
                <w:lang w:eastAsia="zh-CN"/>
              </w:rPr>
            </w:pPr>
          </w:p>
          <w:p w14:paraId="162D46E1">
            <w:pPr>
              <w:pStyle w:val="44"/>
              <w:ind w:left="58" w:right="44"/>
              <w:rPr>
                <w:rFonts w:hint="eastAsia"/>
                <w:color w:val="auto"/>
                <w:sz w:val="21"/>
                <w:highlight w:val="none"/>
              </w:rPr>
            </w:pPr>
            <w:r>
              <w:rPr>
                <w:color w:val="auto"/>
                <w:sz w:val="21"/>
                <w:highlight w:val="none"/>
              </w:rPr>
              <w:t>消防设施</w:t>
            </w:r>
          </w:p>
        </w:tc>
        <w:tc>
          <w:tcPr>
            <w:tcW w:w="3259" w:type="dxa"/>
          </w:tcPr>
          <w:p w14:paraId="6204DB76">
            <w:pPr>
              <w:pStyle w:val="44"/>
              <w:spacing w:line="240" w:lineRule="exact"/>
              <w:ind w:left="56" w:right="36"/>
              <w:rPr>
                <w:rFonts w:hint="eastAsia"/>
                <w:color w:val="auto"/>
                <w:sz w:val="21"/>
                <w:highlight w:val="none"/>
                <w:lang w:eastAsia="zh-CN"/>
              </w:rPr>
            </w:pPr>
            <w:r>
              <w:rPr>
                <w:color w:val="auto"/>
                <w:sz w:val="21"/>
                <w:highlight w:val="none"/>
                <w:lang w:eastAsia="zh-CN"/>
              </w:rPr>
              <w:t>推进消防水源、消防通道、消防装备、电气防火等基础设施建设和安全改造</w:t>
            </w:r>
          </w:p>
        </w:tc>
        <w:tc>
          <w:tcPr>
            <w:tcW w:w="1276" w:type="dxa"/>
          </w:tcPr>
          <w:p w14:paraId="6F6420C5">
            <w:pPr>
              <w:pStyle w:val="44"/>
              <w:jc w:val="left"/>
              <w:rPr>
                <w:rFonts w:hint="eastAsia" w:ascii="微软雅黑"/>
                <w:b/>
                <w:color w:val="auto"/>
                <w:sz w:val="12"/>
                <w:highlight w:val="none"/>
                <w:lang w:eastAsia="zh-CN"/>
              </w:rPr>
            </w:pPr>
          </w:p>
          <w:p w14:paraId="6F4A1CC6">
            <w:pPr>
              <w:pStyle w:val="44"/>
              <w:ind w:left="15"/>
              <w:rPr>
                <w:rFonts w:hint="eastAsia"/>
                <w:color w:val="auto"/>
                <w:sz w:val="21"/>
                <w:highlight w:val="none"/>
              </w:rPr>
            </w:pPr>
            <w:r>
              <w:rPr>
                <w:color w:val="auto"/>
                <w:sz w:val="21"/>
                <w:highlight w:val="none"/>
              </w:rPr>
              <w:t>—</w:t>
            </w:r>
          </w:p>
        </w:tc>
        <w:tc>
          <w:tcPr>
            <w:tcW w:w="3220" w:type="dxa"/>
          </w:tcPr>
          <w:p w14:paraId="093ED7D6">
            <w:pPr>
              <w:pStyle w:val="44"/>
              <w:jc w:val="left"/>
              <w:rPr>
                <w:rFonts w:hint="eastAsia" w:ascii="微软雅黑"/>
                <w:b/>
                <w:color w:val="auto"/>
                <w:sz w:val="12"/>
                <w:highlight w:val="none"/>
              </w:rPr>
            </w:pPr>
          </w:p>
          <w:p w14:paraId="4AEAE29E">
            <w:pPr>
              <w:pStyle w:val="44"/>
              <w:ind w:left="12"/>
              <w:rPr>
                <w:rFonts w:hint="eastAsia"/>
                <w:color w:val="auto"/>
                <w:sz w:val="21"/>
                <w:highlight w:val="none"/>
              </w:rPr>
            </w:pPr>
            <w:r>
              <w:rPr>
                <w:color w:val="auto"/>
                <w:sz w:val="21"/>
                <w:highlight w:val="none"/>
              </w:rPr>
              <w:t>—</w:t>
            </w:r>
          </w:p>
        </w:tc>
      </w:tr>
      <w:tr w14:paraId="5FE5E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64" w:type="dxa"/>
            <w:vMerge w:val="continue"/>
            <w:tcBorders>
              <w:top w:val="nil"/>
            </w:tcBorders>
          </w:tcPr>
          <w:p w14:paraId="3A5D2D58">
            <w:pPr>
              <w:rPr>
                <w:rFonts w:hint="eastAsia"/>
                <w:color w:val="auto"/>
                <w:sz w:val="2"/>
                <w:szCs w:val="2"/>
                <w:highlight w:val="none"/>
              </w:rPr>
            </w:pPr>
          </w:p>
        </w:tc>
        <w:tc>
          <w:tcPr>
            <w:tcW w:w="1415" w:type="dxa"/>
          </w:tcPr>
          <w:p w14:paraId="23A1632F">
            <w:pPr>
              <w:pStyle w:val="44"/>
              <w:spacing w:line="236" w:lineRule="exact"/>
              <w:ind w:left="59" w:right="43"/>
              <w:rPr>
                <w:rFonts w:hint="eastAsia"/>
                <w:color w:val="auto"/>
                <w:sz w:val="21"/>
                <w:highlight w:val="none"/>
              </w:rPr>
            </w:pPr>
            <w:r>
              <w:rPr>
                <w:color w:val="auto"/>
                <w:sz w:val="21"/>
                <w:highlight w:val="none"/>
              </w:rPr>
              <w:t>乡村综合能源</w:t>
            </w:r>
          </w:p>
          <w:p w14:paraId="0166D03B">
            <w:pPr>
              <w:pStyle w:val="44"/>
              <w:spacing w:line="223" w:lineRule="exact"/>
              <w:ind w:left="11"/>
              <w:rPr>
                <w:rFonts w:hint="eastAsia"/>
                <w:color w:val="auto"/>
                <w:sz w:val="21"/>
                <w:highlight w:val="none"/>
              </w:rPr>
            </w:pPr>
            <w:r>
              <w:rPr>
                <w:color w:val="auto"/>
                <w:sz w:val="21"/>
                <w:highlight w:val="none"/>
              </w:rPr>
              <w:t>站</w:t>
            </w:r>
          </w:p>
        </w:tc>
        <w:tc>
          <w:tcPr>
            <w:tcW w:w="3259" w:type="dxa"/>
          </w:tcPr>
          <w:p w14:paraId="52A072A8">
            <w:pPr>
              <w:pStyle w:val="44"/>
              <w:spacing w:line="236" w:lineRule="exact"/>
              <w:ind w:left="37" w:right="20"/>
              <w:rPr>
                <w:rFonts w:hint="eastAsia"/>
                <w:color w:val="auto"/>
                <w:sz w:val="21"/>
                <w:highlight w:val="none"/>
              </w:rPr>
            </w:pPr>
            <w:r>
              <w:rPr>
                <w:color w:val="auto"/>
                <w:sz w:val="21"/>
                <w:highlight w:val="none"/>
                <w:lang w:eastAsia="zh-CN"/>
              </w:rPr>
              <w:t>建设电动汽车充换电服务等乡村能</w:t>
            </w:r>
            <w:r>
              <w:rPr>
                <w:color w:val="auto"/>
                <w:sz w:val="21"/>
                <w:highlight w:val="none"/>
              </w:rPr>
              <w:t>源站</w:t>
            </w:r>
          </w:p>
        </w:tc>
        <w:tc>
          <w:tcPr>
            <w:tcW w:w="1276" w:type="dxa"/>
          </w:tcPr>
          <w:p w14:paraId="705B8300">
            <w:pPr>
              <w:pStyle w:val="44"/>
              <w:spacing w:before="101"/>
              <w:ind w:left="15"/>
              <w:rPr>
                <w:rFonts w:hint="eastAsia"/>
                <w:color w:val="auto"/>
                <w:sz w:val="21"/>
                <w:highlight w:val="none"/>
              </w:rPr>
            </w:pPr>
            <w:r>
              <w:rPr>
                <w:color w:val="auto"/>
                <w:sz w:val="21"/>
                <w:highlight w:val="none"/>
              </w:rPr>
              <w:t>—</w:t>
            </w:r>
          </w:p>
        </w:tc>
        <w:tc>
          <w:tcPr>
            <w:tcW w:w="3220" w:type="dxa"/>
          </w:tcPr>
          <w:p w14:paraId="01BD8D64">
            <w:pPr>
              <w:pStyle w:val="44"/>
              <w:spacing w:before="101"/>
              <w:ind w:left="122" w:right="105"/>
              <w:rPr>
                <w:rFonts w:hint="eastAsia"/>
                <w:color w:val="auto"/>
                <w:sz w:val="21"/>
                <w:highlight w:val="none"/>
              </w:rPr>
            </w:pPr>
            <w:r>
              <w:rPr>
                <w:color w:val="auto"/>
                <w:sz w:val="21"/>
                <w:highlight w:val="none"/>
              </w:rPr>
              <w:t>宜靠近公路布局</w:t>
            </w:r>
          </w:p>
        </w:tc>
      </w:tr>
      <w:tr w14:paraId="78036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64" w:type="dxa"/>
            <w:vMerge w:val="continue"/>
            <w:tcBorders>
              <w:top w:val="nil"/>
            </w:tcBorders>
          </w:tcPr>
          <w:p w14:paraId="12157908">
            <w:pPr>
              <w:rPr>
                <w:rFonts w:hint="eastAsia"/>
                <w:color w:val="auto"/>
                <w:sz w:val="2"/>
                <w:szCs w:val="2"/>
                <w:highlight w:val="none"/>
              </w:rPr>
            </w:pPr>
          </w:p>
        </w:tc>
        <w:tc>
          <w:tcPr>
            <w:tcW w:w="1415" w:type="dxa"/>
          </w:tcPr>
          <w:p w14:paraId="5CD0DC0E">
            <w:pPr>
              <w:pStyle w:val="44"/>
              <w:spacing w:line="220" w:lineRule="exact"/>
              <w:ind w:left="59" w:right="43"/>
              <w:rPr>
                <w:rFonts w:hint="eastAsia"/>
                <w:color w:val="auto"/>
                <w:sz w:val="21"/>
                <w:highlight w:val="none"/>
              </w:rPr>
            </w:pPr>
            <w:r>
              <w:rPr>
                <w:color w:val="auto"/>
                <w:sz w:val="21"/>
                <w:highlight w:val="none"/>
              </w:rPr>
              <w:t>村级客运站点</w:t>
            </w:r>
          </w:p>
        </w:tc>
        <w:tc>
          <w:tcPr>
            <w:tcW w:w="3259" w:type="dxa"/>
          </w:tcPr>
          <w:p w14:paraId="5396EF1C">
            <w:pPr>
              <w:pStyle w:val="44"/>
              <w:spacing w:line="220" w:lineRule="exact"/>
              <w:ind w:left="13"/>
              <w:rPr>
                <w:rFonts w:hint="eastAsia"/>
                <w:color w:val="auto"/>
                <w:sz w:val="21"/>
                <w:highlight w:val="none"/>
              </w:rPr>
            </w:pPr>
            <w:r>
              <w:rPr>
                <w:color w:val="auto"/>
                <w:sz w:val="21"/>
                <w:highlight w:val="none"/>
              </w:rPr>
              <w:t>—</w:t>
            </w:r>
          </w:p>
        </w:tc>
        <w:tc>
          <w:tcPr>
            <w:tcW w:w="1276" w:type="dxa"/>
          </w:tcPr>
          <w:p w14:paraId="605FDFD5">
            <w:pPr>
              <w:pStyle w:val="44"/>
              <w:spacing w:line="220" w:lineRule="exact"/>
              <w:ind w:left="15"/>
              <w:rPr>
                <w:rFonts w:hint="eastAsia"/>
                <w:color w:val="auto"/>
                <w:sz w:val="21"/>
                <w:highlight w:val="none"/>
              </w:rPr>
            </w:pPr>
            <w:r>
              <w:rPr>
                <w:color w:val="auto"/>
                <w:sz w:val="21"/>
                <w:highlight w:val="none"/>
              </w:rPr>
              <w:t>—</w:t>
            </w:r>
          </w:p>
        </w:tc>
        <w:tc>
          <w:tcPr>
            <w:tcW w:w="3220" w:type="dxa"/>
          </w:tcPr>
          <w:p w14:paraId="591AE657">
            <w:pPr>
              <w:pStyle w:val="44"/>
              <w:spacing w:line="220" w:lineRule="exact"/>
              <w:ind w:left="12"/>
              <w:rPr>
                <w:rFonts w:hint="eastAsia"/>
                <w:color w:val="auto"/>
                <w:sz w:val="21"/>
                <w:highlight w:val="none"/>
              </w:rPr>
            </w:pPr>
            <w:r>
              <w:rPr>
                <w:color w:val="auto"/>
                <w:sz w:val="21"/>
                <w:highlight w:val="none"/>
              </w:rPr>
              <w:t>—</w:t>
            </w:r>
          </w:p>
        </w:tc>
      </w:tr>
      <w:tr w14:paraId="662D2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564" w:type="dxa"/>
            <w:vMerge w:val="continue"/>
            <w:tcBorders>
              <w:top w:val="nil"/>
            </w:tcBorders>
          </w:tcPr>
          <w:p w14:paraId="360760E4">
            <w:pPr>
              <w:rPr>
                <w:rFonts w:hint="eastAsia"/>
                <w:color w:val="auto"/>
                <w:sz w:val="2"/>
                <w:szCs w:val="2"/>
                <w:highlight w:val="none"/>
              </w:rPr>
            </w:pPr>
          </w:p>
        </w:tc>
        <w:tc>
          <w:tcPr>
            <w:tcW w:w="1415" w:type="dxa"/>
          </w:tcPr>
          <w:p w14:paraId="541CD648">
            <w:pPr>
              <w:pStyle w:val="44"/>
              <w:spacing w:line="222" w:lineRule="exact"/>
              <w:ind w:left="58" w:right="44"/>
              <w:rPr>
                <w:rFonts w:hint="eastAsia"/>
                <w:color w:val="auto"/>
                <w:sz w:val="21"/>
                <w:highlight w:val="none"/>
              </w:rPr>
            </w:pPr>
            <w:r>
              <w:rPr>
                <w:color w:val="auto"/>
                <w:sz w:val="21"/>
                <w:highlight w:val="none"/>
              </w:rPr>
              <w:t>公交站点</w:t>
            </w:r>
          </w:p>
        </w:tc>
        <w:tc>
          <w:tcPr>
            <w:tcW w:w="3259" w:type="dxa"/>
          </w:tcPr>
          <w:p w14:paraId="71555E9F">
            <w:pPr>
              <w:pStyle w:val="44"/>
              <w:spacing w:line="222" w:lineRule="exact"/>
              <w:ind w:left="13"/>
              <w:rPr>
                <w:rFonts w:hint="eastAsia"/>
                <w:color w:val="auto"/>
                <w:sz w:val="21"/>
                <w:highlight w:val="none"/>
              </w:rPr>
            </w:pPr>
            <w:r>
              <w:rPr>
                <w:color w:val="auto"/>
                <w:sz w:val="21"/>
                <w:highlight w:val="none"/>
              </w:rPr>
              <w:t>—</w:t>
            </w:r>
          </w:p>
        </w:tc>
        <w:tc>
          <w:tcPr>
            <w:tcW w:w="1276" w:type="dxa"/>
          </w:tcPr>
          <w:p w14:paraId="731BEB20">
            <w:pPr>
              <w:pStyle w:val="44"/>
              <w:spacing w:line="222" w:lineRule="exact"/>
              <w:ind w:left="15"/>
              <w:rPr>
                <w:rFonts w:hint="eastAsia"/>
                <w:color w:val="auto"/>
                <w:sz w:val="21"/>
                <w:highlight w:val="none"/>
              </w:rPr>
            </w:pPr>
            <w:r>
              <w:rPr>
                <w:color w:val="auto"/>
                <w:sz w:val="21"/>
                <w:highlight w:val="none"/>
              </w:rPr>
              <w:t>—</w:t>
            </w:r>
          </w:p>
        </w:tc>
        <w:tc>
          <w:tcPr>
            <w:tcW w:w="3220" w:type="dxa"/>
          </w:tcPr>
          <w:p w14:paraId="11182416">
            <w:pPr>
              <w:pStyle w:val="44"/>
              <w:spacing w:line="222" w:lineRule="exact"/>
              <w:ind w:left="12"/>
              <w:rPr>
                <w:rFonts w:hint="eastAsia"/>
                <w:color w:val="auto"/>
                <w:sz w:val="21"/>
                <w:highlight w:val="none"/>
              </w:rPr>
            </w:pPr>
            <w:r>
              <w:rPr>
                <w:color w:val="auto"/>
                <w:sz w:val="21"/>
                <w:highlight w:val="none"/>
              </w:rPr>
              <w:t>—</w:t>
            </w:r>
          </w:p>
        </w:tc>
      </w:tr>
      <w:tr w14:paraId="2F016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64" w:type="dxa"/>
            <w:vMerge w:val="continue"/>
            <w:tcBorders>
              <w:top w:val="nil"/>
            </w:tcBorders>
          </w:tcPr>
          <w:p w14:paraId="6CDA5709">
            <w:pPr>
              <w:rPr>
                <w:rFonts w:hint="eastAsia"/>
                <w:color w:val="auto"/>
                <w:sz w:val="2"/>
                <w:szCs w:val="2"/>
                <w:highlight w:val="none"/>
              </w:rPr>
            </w:pPr>
          </w:p>
        </w:tc>
        <w:tc>
          <w:tcPr>
            <w:tcW w:w="1415" w:type="dxa"/>
          </w:tcPr>
          <w:p w14:paraId="0F49E963">
            <w:pPr>
              <w:pStyle w:val="44"/>
              <w:spacing w:line="220" w:lineRule="exact"/>
              <w:ind w:left="58" w:right="44"/>
              <w:rPr>
                <w:rFonts w:hint="eastAsia"/>
                <w:color w:val="auto"/>
                <w:sz w:val="21"/>
                <w:highlight w:val="none"/>
              </w:rPr>
            </w:pPr>
            <w:r>
              <w:rPr>
                <w:color w:val="auto"/>
                <w:sz w:val="21"/>
                <w:highlight w:val="none"/>
              </w:rPr>
              <w:t>物流配送点</w:t>
            </w:r>
          </w:p>
        </w:tc>
        <w:tc>
          <w:tcPr>
            <w:tcW w:w="3259" w:type="dxa"/>
          </w:tcPr>
          <w:p w14:paraId="218B2AD9">
            <w:pPr>
              <w:pStyle w:val="44"/>
              <w:spacing w:line="220" w:lineRule="exact"/>
              <w:ind w:left="51" w:right="36"/>
              <w:rPr>
                <w:rFonts w:hint="eastAsia"/>
                <w:color w:val="auto"/>
                <w:sz w:val="21"/>
                <w:highlight w:val="none"/>
                <w:lang w:eastAsia="zh-CN"/>
              </w:rPr>
            </w:pPr>
            <w:r>
              <w:rPr>
                <w:color w:val="auto"/>
                <w:sz w:val="21"/>
                <w:highlight w:val="none"/>
                <w:lang w:eastAsia="zh-CN"/>
              </w:rPr>
              <w:t>电商直播和农产品物流收发</w:t>
            </w:r>
          </w:p>
        </w:tc>
        <w:tc>
          <w:tcPr>
            <w:tcW w:w="1276" w:type="dxa"/>
          </w:tcPr>
          <w:p w14:paraId="72F77CED">
            <w:pPr>
              <w:pStyle w:val="44"/>
              <w:spacing w:line="220" w:lineRule="exact"/>
              <w:ind w:left="15"/>
              <w:rPr>
                <w:rFonts w:hint="eastAsia"/>
                <w:color w:val="auto"/>
                <w:sz w:val="21"/>
                <w:highlight w:val="none"/>
              </w:rPr>
            </w:pPr>
            <w:r>
              <w:rPr>
                <w:color w:val="auto"/>
                <w:sz w:val="21"/>
                <w:highlight w:val="none"/>
              </w:rPr>
              <w:t>—</w:t>
            </w:r>
          </w:p>
        </w:tc>
        <w:tc>
          <w:tcPr>
            <w:tcW w:w="3220" w:type="dxa"/>
          </w:tcPr>
          <w:p w14:paraId="1B8095D9">
            <w:pPr>
              <w:pStyle w:val="44"/>
              <w:spacing w:line="220" w:lineRule="exact"/>
              <w:ind w:left="122" w:right="105"/>
              <w:rPr>
                <w:rFonts w:hint="eastAsia"/>
                <w:color w:val="auto"/>
                <w:sz w:val="21"/>
                <w:highlight w:val="none"/>
              </w:rPr>
            </w:pPr>
            <w:r>
              <w:rPr>
                <w:color w:val="auto"/>
                <w:sz w:val="21"/>
                <w:highlight w:val="none"/>
              </w:rPr>
              <w:t>宜在村口设置</w:t>
            </w:r>
          </w:p>
        </w:tc>
      </w:tr>
    </w:tbl>
    <w:p w14:paraId="39B01E62">
      <w:pPr>
        <w:spacing w:line="220" w:lineRule="exact"/>
        <w:rPr>
          <w:rFonts w:hint="eastAsia"/>
          <w:color w:val="auto"/>
          <w:sz w:val="21"/>
          <w:highlight w:val="none"/>
        </w:rPr>
        <w:sectPr>
          <w:pgSz w:w="11910" w:h="16840"/>
          <w:pgMar w:top="1418" w:right="851" w:bottom="1418" w:left="1134" w:header="0" w:footer="603" w:gutter="0"/>
          <w:pgNumType w:fmt="decimal"/>
          <w:cols w:space="720" w:num="1"/>
        </w:sectPr>
      </w:pPr>
    </w:p>
    <w:p w14:paraId="3E38CE00">
      <w:pPr>
        <w:pStyle w:val="5"/>
        <w:keepNext w:val="0"/>
        <w:keepLines w:val="0"/>
        <w:spacing w:before="0" w:after="0"/>
        <w:ind w:right="298"/>
        <w:jc w:val="center"/>
        <w:rPr>
          <w:rFonts w:hint="eastAsia" w:ascii="微软雅黑" w:hAnsi="微软雅黑" w:eastAsia="微软雅黑" w:cs="微软雅黑"/>
          <w:b/>
          <w:bCs/>
          <w:color w:val="auto"/>
          <w:sz w:val="30"/>
          <w:szCs w:val="30"/>
          <w:highlight w:val="none"/>
          <w:lang w:eastAsia="zh-CN"/>
        </w:rPr>
      </w:pPr>
      <w:bookmarkStart w:id="58" w:name="_bookmark39"/>
      <w:bookmarkEnd w:id="58"/>
      <w:r>
        <w:rPr>
          <w:rFonts w:ascii="微软雅黑" w:hAnsi="微软雅黑" w:eastAsia="微软雅黑" w:cs="微软雅黑"/>
          <w:b/>
          <w:bCs/>
          <w:color w:val="auto"/>
          <w:sz w:val="30"/>
          <w:szCs w:val="30"/>
          <w:highlight w:val="none"/>
          <w:lang w:eastAsia="zh-CN"/>
        </w:rPr>
        <w:t>附表六</w:t>
      </w:r>
      <w:r>
        <w:rPr>
          <w:rFonts w:hint="eastAsia" w:ascii="微软雅黑" w:hAnsi="微软雅黑" w:eastAsia="微软雅黑" w:cs="微软雅黑"/>
          <w:b/>
          <w:bCs/>
          <w:color w:val="auto"/>
          <w:sz w:val="30"/>
          <w:szCs w:val="30"/>
          <w:highlight w:val="none"/>
          <w:lang w:eastAsia="zh-CN"/>
        </w:rPr>
        <w:t xml:space="preserve"> 柳南区</w:t>
      </w:r>
      <w:r>
        <w:rPr>
          <w:rFonts w:ascii="微软雅黑" w:hAnsi="微软雅黑" w:eastAsia="微软雅黑" w:cs="微软雅黑"/>
          <w:b/>
          <w:bCs/>
          <w:color w:val="auto"/>
          <w:sz w:val="30"/>
          <w:szCs w:val="30"/>
          <w:highlight w:val="none"/>
          <w:lang w:eastAsia="zh-CN"/>
        </w:rPr>
        <w:t>乡村建筑设计指引表</w:t>
      </w:r>
    </w:p>
    <w:p w14:paraId="2443AA12">
      <w:pPr>
        <w:pStyle w:val="11"/>
        <w:spacing w:before="5" w:after="1"/>
        <w:ind w:left="0"/>
        <w:rPr>
          <w:rFonts w:hint="eastAsia" w:ascii="微软雅黑"/>
          <w:b/>
          <w:color w:val="auto"/>
          <w:sz w:val="6"/>
          <w:highlight w:val="none"/>
          <w:lang w:eastAsia="zh-CN"/>
        </w:rPr>
      </w:pP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
        <w:gridCol w:w="782"/>
        <w:gridCol w:w="8610"/>
      </w:tblGrid>
      <w:tr w14:paraId="71208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128" w:type="dxa"/>
            <w:gridSpan w:val="2"/>
          </w:tcPr>
          <w:p w14:paraId="52E046BC">
            <w:pPr>
              <w:pStyle w:val="44"/>
              <w:spacing w:line="277" w:lineRule="exact"/>
              <w:ind w:left="353"/>
              <w:jc w:val="left"/>
              <w:rPr>
                <w:rFonts w:hint="eastAsia" w:ascii="微软雅黑" w:eastAsia="微软雅黑"/>
                <w:b/>
                <w:color w:val="auto"/>
                <w:sz w:val="21"/>
                <w:highlight w:val="none"/>
              </w:rPr>
            </w:pPr>
            <w:r>
              <w:rPr>
                <w:rFonts w:hint="eastAsia" w:ascii="微软雅黑" w:eastAsia="微软雅黑"/>
                <w:b/>
                <w:color w:val="auto"/>
                <w:sz w:val="21"/>
                <w:highlight w:val="none"/>
              </w:rPr>
              <w:t>要素</w:t>
            </w:r>
          </w:p>
        </w:tc>
        <w:tc>
          <w:tcPr>
            <w:tcW w:w="8610" w:type="dxa"/>
          </w:tcPr>
          <w:p w14:paraId="01067E1B">
            <w:pPr>
              <w:pStyle w:val="44"/>
              <w:spacing w:line="277" w:lineRule="exact"/>
              <w:ind w:left="3864" w:right="3856"/>
              <w:rPr>
                <w:rFonts w:hint="eastAsia" w:ascii="微软雅黑" w:eastAsia="微软雅黑"/>
                <w:b/>
                <w:color w:val="auto"/>
                <w:sz w:val="21"/>
                <w:highlight w:val="none"/>
              </w:rPr>
            </w:pPr>
            <w:r>
              <w:rPr>
                <w:rFonts w:hint="eastAsia" w:ascii="微软雅黑" w:eastAsia="微软雅黑"/>
                <w:b/>
                <w:color w:val="auto"/>
                <w:sz w:val="21"/>
                <w:highlight w:val="none"/>
              </w:rPr>
              <w:t>设计指引</w:t>
            </w:r>
          </w:p>
        </w:tc>
      </w:tr>
      <w:tr w14:paraId="607DC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128" w:type="dxa"/>
            <w:gridSpan w:val="2"/>
          </w:tcPr>
          <w:p w14:paraId="075596D1">
            <w:pPr>
              <w:pStyle w:val="44"/>
              <w:spacing w:before="130"/>
              <w:ind w:left="143"/>
              <w:jc w:val="left"/>
              <w:rPr>
                <w:rFonts w:hint="eastAsia"/>
                <w:color w:val="auto"/>
                <w:sz w:val="21"/>
                <w:highlight w:val="none"/>
              </w:rPr>
            </w:pPr>
            <w:r>
              <w:rPr>
                <w:color w:val="auto"/>
                <w:sz w:val="21"/>
                <w:highlight w:val="none"/>
              </w:rPr>
              <w:t>建筑层高</w:t>
            </w:r>
          </w:p>
        </w:tc>
        <w:tc>
          <w:tcPr>
            <w:tcW w:w="8610" w:type="dxa"/>
          </w:tcPr>
          <w:p w14:paraId="79878ECA">
            <w:pPr>
              <w:pStyle w:val="44"/>
              <w:spacing w:before="33" w:line="213" w:lineRule="auto"/>
              <w:ind w:left="26" w:right="3525"/>
              <w:jc w:val="left"/>
              <w:rPr>
                <w:rFonts w:hint="eastAsia"/>
                <w:color w:val="auto"/>
                <w:sz w:val="21"/>
                <w:highlight w:val="none"/>
                <w:lang w:eastAsia="zh-CN"/>
              </w:rPr>
            </w:pPr>
            <w:r>
              <w:rPr>
                <w:color w:val="auto"/>
                <w:sz w:val="21"/>
                <w:highlight w:val="none"/>
                <w:lang w:eastAsia="zh-CN"/>
              </w:rPr>
              <w:t xml:space="preserve">农房层高宜在 </w:t>
            </w:r>
            <w:r>
              <w:rPr>
                <w:rFonts w:ascii="Times New Roman" w:eastAsia="Times New Roman"/>
                <w:color w:val="auto"/>
                <w:sz w:val="21"/>
                <w:highlight w:val="none"/>
                <w:lang w:eastAsia="zh-CN"/>
              </w:rPr>
              <w:t xml:space="preserve">2.8-3.3 </w:t>
            </w:r>
            <w:r>
              <w:rPr>
                <w:color w:val="auto"/>
                <w:sz w:val="21"/>
                <w:highlight w:val="none"/>
                <w:lang w:eastAsia="zh-CN"/>
              </w:rPr>
              <w:t>米之间，底层层高可适当增加； 公共建筑、工业及仓储建筑层高宜根据建筑要求设计。</w:t>
            </w:r>
          </w:p>
        </w:tc>
      </w:tr>
      <w:tr w14:paraId="74547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346" w:type="dxa"/>
            <w:vMerge w:val="restart"/>
          </w:tcPr>
          <w:p w14:paraId="53E5A346">
            <w:pPr>
              <w:pStyle w:val="44"/>
              <w:jc w:val="left"/>
              <w:rPr>
                <w:rFonts w:hint="eastAsia" w:ascii="微软雅黑"/>
                <w:b/>
                <w:color w:val="auto"/>
                <w:sz w:val="20"/>
                <w:highlight w:val="none"/>
                <w:lang w:eastAsia="zh-CN"/>
              </w:rPr>
            </w:pPr>
          </w:p>
          <w:p w14:paraId="2BB5A32D">
            <w:pPr>
              <w:pStyle w:val="44"/>
              <w:jc w:val="left"/>
              <w:rPr>
                <w:rFonts w:hint="eastAsia" w:ascii="微软雅黑"/>
                <w:b/>
                <w:color w:val="auto"/>
                <w:sz w:val="20"/>
                <w:highlight w:val="none"/>
                <w:lang w:eastAsia="zh-CN"/>
              </w:rPr>
            </w:pPr>
          </w:p>
          <w:p w14:paraId="7241BAA7">
            <w:pPr>
              <w:pStyle w:val="44"/>
              <w:spacing w:before="1"/>
              <w:jc w:val="left"/>
              <w:rPr>
                <w:rFonts w:hint="eastAsia" w:ascii="微软雅黑"/>
                <w:b/>
                <w:color w:val="auto"/>
                <w:sz w:val="24"/>
                <w:highlight w:val="none"/>
                <w:lang w:eastAsia="zh-CN"/>
              </w:rPr>
            </w:pPr>
          </w:p>
          <w:p w14:paraId="5EA2998B">
            <w:pPr>
              <w:pStyle w:val="44"/>
              <w:spacing w:line="213" w:lineRule="auto"/>
              <w:ind w:left="67" w:right="55"/>
              <w:jc w:val="left"/>
              <w:rPr>
                <w:rFonts w:hint="eastAsia"/>
                <w:color w:val="auto"/>
                <w:sz w:val="21"/>
                <w:highlight w:val="none"/>
              </w:rPr>
            </w:pPr>
            <w:r>
              <w:rPr>
                <w:color w:val="auto"/>
                <w:sz w:val="21"/>
                <w:highlight w:val="none"/>
              </w:rPr>
              <w:t>屋面</w:t>
            </w:r>
          </w:p>
        </w:tc>
        <w:tc>
          <w:tcPr>
            <w:tcW w:w="782" w:type="dxa"/>
          </w:tcPr>
          <w:p w14:paraId="1EE95386">
            <w:pPr>
              <w:pStyle w:val="44"/>
              <w:spacing w:before="153" w:line="213" w:lineRule="auto"/>
              <w:ind w:left="285" w:right="62" w:hanging="212"/>
              <w:jc w:val="left"/>
              <w:rPr>
                <w:rFonts w:hint="eastAsia"/>
                <w:color w:val="auto"/>
                <w:sz w:val="21"/>
                <w:highlight w:val="none"/>
              </w:rPr>
            </w:pPr>
            <w:r>
              <w:rPr>
                <w:color w:val="auto"/>
                <w:sz w:val="21"/>
                <w:highlight w:val="none"/>
              </w:rPr>
              <w:t>屋顶形式</w:t>
            </w:r>
          </w:p>
        </w:tc>
        <w:tc>
          <w:tcPr>
            <w:tcW w:w="8610" w:type="dxa"/>
          </w:tcPr>
          <w:p w14:paraId="7835EFFA">
            <w:pPr>
              <w:pStyle w:val="44"/>
              <w:spacing w:before="10" w:line="255" w:lineRule="exact"/>
              <w:ind w:left="26"/>
              <w:jc w:val="left"/>
              <w:rPr>
                <w:rFonts w:hint="eastAsia"/>
                <w:color w:val="auto"/>
                <w:sz w:val="21"/>
                <w:highlight w:val="none"/>
                <w:lang w:eastAsia="zh-CN"/>
              </w:rPr>
            </w:pPr>
            <w:r>
              <w:rPr>
                <w:color w:val="auto"/>
                <w:sz w:val="21"/>
                <w:highlight w:val="none"/>
                <w:lang w:eastAsia="zh-CN"/>
              </w:rPr>
              <w:t>宜采用双坡屋顶形式。</w:t>
            </w:r>
          </w:p>
          <w:p w14:paraId="484441C8">
            <w:pPr>
              <w:pStyle w:val="44"/>
              <w:spacing w:line="240" w:lineRule="exact"/>
              <w:ind w:left="26"/>
              <w:jc w:val="left"/>
              <w:rPr>
                <w:rFonts w:hint="eastAsia"/>
                <w:color w:val="auto"/>
                <w:sz w:val="21"/>
                <w:highlight w:val="none"/>
                <w:lang w:eastAsia="zh-CN"/>
              </w:rPr>
            </w:pPr>
            <w:r>
              <w:rPr>
                <w:color w:val="auto"/>
                <w:sz w:val="21"/>
                <w:highlight w:val="none"/>
                <w:lang w:eastAsia="zh-CN"/>
              </w:rPr>
              <w:t xml:space="preserve">坡度：建议 </w:t>
            </w:r>
            <w:r>
              <w:rPr>
                <w:rFonts w:ascii="Times New Roman" w:eastAsia="Times New Roman"/>
                <w:color w:val="auto"/>
                <w:sz w:val="21"/>
                <w:highlight w:val="none"/>
                <w:lang w:eastAsia="zh-CN"/>
              </w:rPr>
              <w:t xml:space="preserve">30-40 </w:t>
            </w:r>
            <w:r>
              <w:rPr>
                <w:color w:val="auto"/>
                <w:sz w:val="21"/>
                <w:highlight w:val="none"/>
                <w:lang w:eastAsia="zh-CN"/>
              </w:rPr>
              <w:t>度为宜。</w:t>
            </w:r>
          </w:p>
          <w:p w14:paraId="7D9C6826">
            <w:pPr>
              <w:pStyle w:val="44"/>
              <w:spacing w:line="252" w:lineRule="exact"/>
              <w:ind w:left="26"/>
              <w:jc w:val="left"/>
              <w:rPr>
                <w:rFonts w:hint="eastAsia"/>
                <w:color w:val="auto"/>
                <w:sz w:val="21"/>
                <w:highlight w:val="none"/>
                <w:lang w:eastAsia="zh-CN"/>
              </w:rPr>
            </w:pPr>
            <w:r>
              <w:rPr>
                <w:color w:val="auto"/>
                <w:sz w:val="21"/>
                <w:highlight w:val="none"/>
                <w:lang w:eastAsia="zh-CN"/>
              </w:rPr>
              <w:t>挑檐：出挑长度需与坡屋顶实际面积相适宜。</w:t>
            </w:r>
          </w:p>
        </w:tc>
      </w:tr>
      <w:tr w14:paraId="47833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46" w:type="dxa"/>
            <w:vMerge w:val="continue"/>
            <w:tcBorders>
              <w:top w:val="nil"/>
            </w:tcBorders>
          </w:tcPr>
          <w:p w14:paraId="67C5514D">
            <w:pPr>
              <w:rPr>
                <w:rFonts w:hint="eastAsia"/>
                <w:color w:val="auto"/>
                <w:sz w:val="2"/>
                <w:szCs w:val="2"/>
                <w:highlight w:val="none"/>
                <w:lang w:eastAsia="zh-CN"/>
              </w:rPr>
            </w:pPr>
          </w:p>
        </w:tc>
        <w:tc>
          <w:tcPr>
            <w:tcW w:w="782" w:type="dxa"/>
          </w:tcPr>
          <w:p w14:paraId="17CCED4A">
            <w:pPr>
              <w:pStyle w:val="44"/>
              <w:spacing w:before="130"/>
              <w:ind w:left="179"/>
              <w:jc w:val="left"/>
              <w:rPr>
                <w:rFonts w:hint="eastAsia"/>
                <w:color w:val="auto"/>
                <w:sz w:val="21"/>
                <w:highlight w:val="none"/>
              </w:rPr>
            </w:pPr>
            <w:r>
              <w:rPr>
                <w:color w:val="auto"/>
                <w:sz w:val="21"/>
                <w:highlight w:val="none"/>
              </w:rPr>
              <w:t>屋面</w:t>
            </w:r>
          </w:p>
        </w:tc>
        <w:tc>
          <w:tcPr>
            <w:tcW w:w="8610" w:type="dxa"/>
          </w:tcPr>
          <w:p w14:paraId="2BB7DC18">
            <w:pPr>
              <w:pStyle w:val="44"/>
              <w:spacing w:before="33" w:line="213" w:lineRule="auto"/>
              <w:ind w:left="26" w:right="162"/>
              <w:jc w:val="left"/>
              <w:rPr>
                <w:rFonts w:hint="eastAsia"/>
                <w:color w:val="auto"/>
                <w:sz w:val="21"/>
                <w:highlight w:val="none"/>
                <w:lang w:eastAsia="zh-CN"/>
              </w:rPr>
            </w:pPr>
            <w:r>
              <w:rPr>
                <w:color w:val="auto"/>
                <w:sz w:val="21"/>
                <w:highlight w:val="none"/>
                <w:lang w:eastAsia="zh-CN"/>
              </w:rPr>
              <w:t>屋面瓦：以深色为主，可选用深灰色和蓝灰色，材料可选用青瓦、琉璃瓦等。飘檐、女儿墙和山墙的颜色、材料宜与屋面瓦保持一致。</w:t>
            </w:r>
          </w:p>
        </w:tc>
      </w:tr>
      <w:tr w14:paraId="65927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346" w:type="dxa"/>
            <w:vMerge w:val="continue"/>
            <w:tcBorders>
              <w:top w:val="nil"/>
            </w:tcBorders>
          </w:tcPr>
          <w:p w14:paraId="1106DCB8">
            <w:pPr>
              <w:rPr>
                <w:rFonts w:hint="eastAsia"/>
                <w:color w:val="auto"/>
                <w:sz w:val="2"/>
                <w:szCs w:val="2"/>
                <w:highlight w:val="none"/>
                <w:lang w:eastAsia="zh-CN"/>
              </w:rPr>
            </w:pPr>
          </w:p>
        </w:tc>
        <w:tc>
          <w:tcPr>
            <w:tcW w:w="782" w:type="dxa"/>
          </w:tcPr>
          <w:p w14:paraId="4F4E28BA">
            <w:pPr>
              <w:pStyle w:val="44"/>
              <w:jc w:val="left"/>
              <w:rPr>
                <w:rFonts w:hint="eastAsia" w:ascii="微软雅黑"/>
                <w:b/>
                <w:color w:val="auto"/>
                <w:sz w:val="20"/>
                <w:highlight w:val="none"/>
                <w:lang w:eastAsia="zh-CN"/>
              </w:rPr>
            </w:pPr>
          </w:p>
          <w:p w14:paraId="047D5605">
            <w:pPr>
              <w:pStyle w:val="44"/>
              <w:spacing w:before="2"/>
              <w:jc w:val="left"/>
              <w:rPr>
                <w:rFonts w:hint="eastAsia" w:ascii="微软雅黑"/>
                <w:b/>
                <w:color w:val="auto"/>
                <w:sz w:val="13"/>
                <w:highlight w:val="none"/>
                <w:lang w:eastAsia="zh-CN"/>
              </w:rPr>
            </w:pPr>
          </w:p>
          <w:p w14:paraId="5759A740">
            <w:pPr>
              <w:pStyle w:val="44"/>
              <w:spacing w:before="1"/>
              <w:ind w:left="179"/>
              <w:jc w:val="left"/>
              <w:rPr>
                <w:rFonts w:hint="eastAsia"/>
                <w:color w:val="auto"/>
                <w:sz w:val="21"/>
                <w:highlight w:val="none"/>
              </w:rPr>
            </w:pPr>
            <w:r>
              <w:rPr>
                <w:color w:val="auto"/>
                <w:sz w:val="21"/>
                <w:highlight w:val="none"/>
              </w:rPr>
              <w:t>屋脊</w:t>
            </w:r>
          </w:p>
        </w:tc>
        <w:tc>
          <w:tcPr>
            <w:tcW w:w="8610" w:type="dxa"/>
          </w:tcPr>
          <w:p w14:paraId="25722D40">
            <w:pPr>
              <w:pStyle w:val="44"/>
              <w:spacing w:before="10" w:line="255" w:lineRule="exact"/>
              <w:ind w:left="26"/>
              <w:jc w:val="left"/>
              <w:rPr>
                <w:rFonts w:hint="eastAsia"/>
                <w:color w:val="auto"/>
                <w:sz w:val="21"/>
                <w:highlight w:val="none"/>
                <w:lang w:eastAsia="zh-CN"/>
              </w:rPr>
            </w:pPr>
            <w:r>
              <w:rPr>
                <w:color w:val="auto"/>
                <w:sz w:val="21"/>
                <w:highlight w:val="none"/>
                <w:lang w:eastAsia="zh-CN"/>
              </w:rPr>
              <w:t>色彩：注重与屋面进行搭配。</w:t>
            </w:r>
          </w:p>
          <w:p w14:paraId="283EB26A">
            <w:pPr>
              <w:pStyle w:val="44"/>
              <w:spacing w:before="9" w:line="213" w:lineRule="auto"/>
              <w:ind w:left="26" w:right="3945"/>
              <w:jc w:val="both"/>
              <w:rPr>
                <w:rFonts w:hint="eastAsia"/>
                <w:color w:val="auto"/>
                <w:sz w:val="21"/>
                <w:highlight w:val="none"/>
                <w:lang w:eastAsia="zh-CN"/>
              </w:rPr>
            </w:pPr>
            <w:r>
              <w:rPr>
                <w:color w:val="auto"/>
                <w:sz w:val="21"/>
                <w:highlight w:val="none"/>
                <w:lang w:eastAsia="zh-CN"/>
              </w:rPr>
              <w:t>深色屋脊：与屋面同色，可选用深灰色和蓝灰色。浅色屋脊：与屋面不同色，可选用米白色、白色。做法：可选用屋脊压瓦成品或以灰砂砌筑。</w:t>
            </w:r>
          </w:p>
          <w:p w14:paraId="084F4EE6">
            <w:pPr>
              <w:pStyle w:val="44"/>
              <w:spacing w:before="2" w:line="213" w:lineRule="auto"/>
              <w:ind w:left="26" w:right="162"/>
              <w:jc w:val="left"/>
              <w:rPr>
                <w:rFonts w:hint="eastAsia"/>
                <w:color w:val="auto"/>
                <w:sz w:val="21"/>
                <w:highlight w:val="none"/>
                <w:lang w:eastAsia="zh-CN"/>
              </w:rPr>
            </w:pPr>
            <w:r>
              <w:rPr>
                <w:color w:val="auto"/>
                <w:sz w:val="21"/>
                <w:highlight w:val="none"/>
                <w:lang w:eastAsia="zh-CN"/>
              </w:rPr>
              <w:t>屋角：壮族、仫佬族聚居区及民族特色较浓厚的地区建议在农房正脊两侧安装翘脊，屋檐四角安装翘角，可在鱼龙吻、动物、花草等形制的基础上进行简化后应用。</w:t>
            </w:r>
          </w:p>
        </w:tc>
      </w:tr>
      <w:tr w14:paraId="2AA72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4" w:hRule="atLeast"/>
        </w:trPr>
        <w:tc>
          <w:tcPr>
            <w:tcW w:w="346" w:type="dxa"/>
            <w:vMerge w:val="restart"/>
          </w:tcPr>
          <w:p w14:paraId="400B25FA">
            <w:pPr>
              <w:pStyle w:val="44"/>
              <w:jc w:val="left"/>
              <w:rPr>
                <w:rFonts w:hint="eastAsia" w:ascii="微软雅黑"/>
                <w:b/>
                <w:color w:val="auto"/>
                <w:sz w:val="20"/>
                <w:highlight w:val="none"/>
                <w:lang w:eastAsia="zh-CN"/>
              </w:rPr>
            </w:pPr>
          </w:p>
          <w:p w14:paraId="06BCB3E0">
            <w:pPr>
              <w:pStyle w:val="44"/>
              <w:jc w:val="left"/>
              <w:rPr>
                <w:rFonts w:hint="eastAsia" w:ascii="微软雅黑"/>
                <w:b/>
                <w:color w:val="auto"/>
                <w:sz w:val="20"/>
                <w:highlight w:val="none"/>
                <w:lang w:eastAsia="zh-CN"/>
              </w:rPr>
            </w:pPr>
          </w:p>
          <w:p w14:paraId="104D59DE">
            <w:pPr>
              <w:pStyle w:val="44"/>
              <w:spacing w:before="7"/>
              <w:jc w:val="left"/>
              <w:rPr>
                <w:rFonts w:hint="eastAsia" w:ascii="微软雅黑"/>
                <w:b/>
                <w:color w:val="auto"/>
                <w:sz w:val="17"/>
                <w:highlight w:val="none"/>
                <w:lang w:eastAsia="zh-CN"/>
              </w:rPr>
            </w:pPr>
          </w:p>
          <w:p w14:paraId="027D43B0">
            <w:pPr>
              <w:pStyle w:val="44"/>
              <w:spacing w:before="1" w:line="213" w:lineRule="auto"/>
              <w:ind w:left="67" w:right="55"/>
              <w:jc w:val="left"/>
              <w:rPr>
                <w:rFonts w:hint="eastAsia"/>
                <w:color w:val="auto"/>
                <w:sz w:val="21"/>
                <w:highlight w:val="none"/>
              </w:rPr>
            </w:pPr>
            <w:r>
              <w:rPr>
                <w:color w:val="auto"/>
                <w:sz w:val="21"/>
                <w:highlight w:val="none"/>
              </w:rPr>
              <w:t>墙体</w:t>
            </w:r>
          </w:p>
        </w:tc>
        <w:tc>
          <w:tcPr>
            <w:tcW w:w="782" w:type="dxa"/>
          </w:tcPr>
          <w:p w14:paraId="1A9A6698">
            <w:pPr>
              <w:pStyle w:val="44"/>
              <w:spacing w:before="16"/>
              <w:jc w:val="left"/>
              <w:rPr>
                <w:rFonts w:hint="eastAsia" w:ascii="微软雅黑"/>
                <w:b/>
                <w:color w:val="auto"/>
                <w:sz w:val="27"/>
                <w:highlight w:val="none"/>
              </w:rPr>
            </w:pPr>
          </w:p>
          <w:p w14:paraId="305E9CC7">
            <w:pPr>
              <w:pStyle w:val="44"/>
              <w:spacing w:line="213" w:lineRule="auto"/>
              <w:ind w:left="285" w:right="62" w:hanging="212"/>
              <w:jc w:val="left"/>
              <w:rPr>
                <w:rFonts w:hint="eastAsia"/>
                <w:color w:val="auto"/>
                <w:sz w:val="21"/>
                <w:highlight w:val="none"/>
              </w:rPr>
            </w:pPr>
            <w:r>
              <w:rPr>
                <w:color w:val="auto"/>
                <w:sz w:val="21"/>
                <w:highlight w:val="none"/>
              </w:rPr>
              <w:t>色彩分类</w:t>
            </w:r>
          </w:p>
        </w:tc>
        <w:tc>
          <w:tcPr>
            <w:tcW w:w="8610" w:type="dxa"/>
          </w:tcPr>
          <w:p w14:paraId="38B15AAE">
            <w:pPr>
              <w:pStyle w:val="44"/>
              <w:spacing w:before="33" w:line="213" w:lineRule="auto"/>
              <w:ind w:left="26" w:right="162"/>
              <w:jc w:val="left"/>
              <w:rPr>
                <w:rFonts w:hint="eastAsia"/>
                <w:color w:val="auto"/>
                <w:sz w:val="21"/>
                <w:highlight w:val="none"/>
                <w:lang w:eastAsia="zh-CN"/>
              </w:rPr>
            </w:pPr>
            <w:r>
              <w:rPr>
                <w:color w:val="auto"/>
                <w:sz w:val="21"/>
                <w:highlight w:val="none"/>
                <w:lang w:eastAsia="zh-CN"/>
              </w:rPr>
              <w:t>分为白色、灰色两大色系，建筑墙面色彩由主色（墙面颜色）、辅色（墙裙）、点缀色（装饰线、图案）组成。</w:t>
            </w:r>
          </w:p>
          <w:p w14:paraId="06F09DA1">
            <w:pPr>
              <w:pStyle w:val="44"/>
              <w:spacing w:before="1" w:line="213" w:lineRule="auto"/>
              <w:ind w:left="26" w:right="162"/>
              <w:jc w:val="left"/>
              <w:rPr>
                <w:rFonts w:hint="eastAsia"/>
                <w:color w:val="auto"/>
                <w:sz w:val="21"/>
                <w:highlight w:val="none"/>
                <w:lang w:eastAsia="zh-CN"/>
              </w:rPr>
            </w:pPr>
            <w:r>
              <w:rPr>
                <w:color w:val="auto"/>
                <w:sz w:val="21"/>
                <w:highlight w:val="none"/>
                <w:lang w:eastAsia="zh-CN"/>
              </w:rPr>
              <w:t>白色系：主色选用白色，可用偏黄或偏灰的白，辅助色用灰色，点缀色可用深灰色、木色、棕色等。</w:t>
            </w:r>
          </w:p>
          <w:p w14:paraId="57DBE9DA">
            <w:pPr>
              <w:pStyle w:val="44"/>
              <w:spacing w:before="2" w:line="213" w:lineRule="auto"/>
              <w:ind w:left="26" w:right="162"/>
              <w:jc w:val="left"/>
              <w:rPr>
                <w:rFonts w:hint="eastAsia"/>
                <w:color w:val="auto"/>
                <w:sz w:val="21"/>
                <w:highlight w:val="none"/>
                <w:lang w:eastAsia="zh-CN"/>
              </w:rPr>
            </w:pPr>
            <w:r>
              <w:rPr>
                <w:color w:val="auto"/>
                <w:sz w:val="21"/>
                <w:highlight w:val="none"/>
                <w:lang w:eastAsia="zh-CN"/>
              </w:rPr>
              <w:t>灰色系：主色选用灰色，分为深灰、中灰、浅灰，可搭配使用体现层次感。辅助色用白色， 点缀色可用木色、棕色、深灰色等。</w:t>
            </w:r>
          </w:p>
        </w:tc>
      </w:tr>
      <w:tr w14:paraId="35C3D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346" w:type="dxa"/>
            <w:vMerge w:val="continue"/>
            <w:tcBorders>
              <w:top w:val="nil"/>
            </w:tcBorders>
          </w:tcPr>
          <w:p w14:paraId="6A2F8B00">
            <w:pPr>
              <w:rPr>
                <w:rFonts w:hint="eastAsia"/>
                <w:color w:val="auto"/>
                <w:sz w:val="2"/>
                <w:szCs w:val="2"/>
                <w:highlight w:val="none"/>
                <w:lang w:eastAsia="zh-CN"/>
              </w:rPr>
            </w:pPr>
          </w:p>
        </w:tc>
        <w:tc>
          <w:tcPr>
            <w:tcW w:w="782" w:type="dxa"/>
          </w:tcPr>
          <w:p w14:paraId="3CF4674D">
            <w:pPr>
              <w:pStyle w:val="44"/>
              <w:spacing w:before="33" w:line="213" w:lineRule="auto"/>
              <w:ind w:left="285" w:right="62" w:hanging="212"/>
              <w:jc w:val="left"/>
              <w:rPr>
                <w:rFonts w:hint="eastAsia"/>
                <w:color w:val="auto"/>
                <w:sz w:val="21"/>
                <w:highlight w:val="none"/>
              </w:rPr>
            </w:pPr>
            <w:r>
              <w:rPr>
                <w:color w:val="auto"/>
                <w:sz w:val="21"/>
                <w:highlight w:val="none"/>
              </w:rPr>
              <w:t>色彩选择</w:t>
            </w:r>
          </w:p>
        </w:tc>
        <w:tc>
          <w:tcPr>
            <w:tcW w:w="8610" w:type="dxa"/>
          </w:tcPr>
          <w:p w14:paraId="072BC8D2">
            <w:pPr>
              <w:pStyle w:val="44"/>
              <w:spacing w:before="33" w:line="213" w:lineRule="auto"/>
              <w:ind w:left="26" w:right="101"/>
              <w:jc w:val="left"/>
              <w:rPr>
                <w:rFonts w:hint="eastAsia"/>
                <w:color w:val="auto"/>
                <w:sz w:val="21"/>
                <w:highlight w:val="none"/>
                <w:lang w:eastAsia="zh-CN"/>
              </w:rPr>
            </w:pPr>
            <w:r>
              <w:rPr>
                <w:color w:val="auto"/>
                <w:sz w:val="21"/>
                <w:highlight w:val="none"/>
                <w:lang w:eastAsia="zh-CN"/>
              </w:rPr>
              <w:t xml:space="preserve">可通过使用材质本色来体现建筑色彩，单栋建筑墙面颜色不宜超过 </w:t>
            </w:r>
            <w:r>
              <w:rPr>
                <w:rFonts w:ascii="Times New Roman" w:eastAsia="Times New Roman"/>
                <w:color w:val="auto"/>
                <w:sz w:val="21"/>
                <w:highlight w:val="none"/>
                <w:lang w:eastAsia="zh-CN"/>
              </w:rPr>
              <w:t xml:space="preserve">4 </w:t>
            </w:r>
            <w:r>
              <w:rPr>
                <w:color w:val="auto"/>
                <w:sz w:val="21"/>
                <w:highlight w:val="none"/>
                <w:lang w:eastAsia="zh-CN"/>
              </w:rPr>
              <w:t>种，色彩搭配应美观、大方、协调、主次分明。</w:t>
            </w:r>
          </w:p>
        </w:tc>
      </w:tr>
      <w:tr w14:paraId="6E364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46" w:type="dxa"/>
            <w:vMerge w:val="continue"/>
            <w:tcBorders>
              <w:top w:val="nil"/>
            </w:tcBorders>
          </w:tcPr>
          <w:p w14:paraId="361866EF">
            <w:pPr>
              <w:rPr>
                <w:rFonts w:hint="eastAsia"/>
                <w:color w:val="auto"/>
                <w:sz w:val="2"/>
                <w:szCs w:val="2"/>
                <w:highlight w:val="none"/>
                <w:lang w:eastAsia="zh-CN"/>
              </w:rPr>
            </w:pPr>
          </w:p>
        </w:tc>
        <w:tc>
          <w:tcPr>
            <w:tcW w:w="782" w:type="dxa"/>
          </w:tcPr>
          <w:p w14:paraId="6131B571">
            <w:pPr>
              <w:pStyle w:val="44"/>
              <w:spacing w:before="33" w:line="213" w:lineRule="auto"/>
              <w:ind w:left="285" w:right="62" w:hanging="212"/>
              <w:jc w:val="left"/>
              <w:rPr>
                <w:rFonts w:hint="eastAsia"/>
                <w:color w:val="auto"/>
                <w:sz w:val="21"/>
                <w:highlight w:val="none"/>
              </w:rPr>
            </w:pPr>
            <w:r>
              <w:rPr>
                <w:color w:val="auto"/>
                <w:sz w:val="21"/>
                <w:highlight w:val="none"/>
              </w:rPr>
              <w:t>避免做法</w:t>
            </w:r>
          </w:p>
        </w:tc>
        <w:tc>
          <w:tcPr>
            <w:tcW w:w="8610" w:type="dxa"/>
          </w:tcPr>
          <w:p w14:paraId="4B0A88FE">
            <w:pPr>
              <w:pStyle w:val="44"/>
              <w:spacing w:before="130"/>
              <w:ind w:left="26"/>
              <w:jc w:val="left"/>
              <w:rPr>
                <w:rFonts w:hint="eastAsia"/>
                <w:color w:val="auto"/>
                <w:sz w:val="21"/>
                <w:highlight w:val="none"/>
                <w:lang w:eastAsia="zh-CN"/>
              </w:rPr>
            </w:pPr>
            <w:r>
              <w:rPr>
                <w:color w:val="auto"/>
                <w:sz w:val="21"/>
                <w:highlight w:val="none"/>
                <w:lang w:eastAsia="zh-CN"/>
              </w:rPr>
              <w:t>不宜采用大面积高纯度、高亮度的颜色；避免采用裸露水泥外墙面的做法。</w:t>
            </w:r>
          </w:p>
        </w:tc>
      </w:tr>
      <w:tr w14:paraId="21AB0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trPr>
        <w:tc>
          <w:tcPr>
            <w:tcW w:w="1128" w:type="dxa"/>
            <w:gridSpan w:val="2"/>
          </w:tcPr>
          <w:p w14:paraId="32B72E34">
            <w:pPr>
              <w:pStyle w:val="44"/>
              <w:spacing w:before="2"/>
              <w:jc w:val="left"/>
              <w:rPr>
                <w:rFonts w:hint="eastAsia" w:ascii="微软雅黑"/>
                <w:b/>
                <w:color w:val="auto"/>
                <w:sz w:val="20"/>
                <w:highlight w:val="none"/>
                <w:lang w:eastAsia="zh-CN"/>
              </w:rPr>
            </w:pPr>
          </w:p>
          <w:p w14:paraId="38744AB2">
            <w:pPr>
              <w:pStyle w:val="44"/>
              <w:ind w:left="353"/>
              <w:jc w:val="left"/>
              <w:rPr>
                <w:rFonts w:hint="eastAsia"/>
                <w:color w:val="auto"/>
                <w:sz w:val="21"/>
                <w:highlight w:val="none"/>
              </w:rPr>
            </w:pPr>
            <w:r>
              <w:rPr>
                <w:color w:val="auto"/>
                <w:sz w:val="21"/>
                <w:highlight w:val="none"/>
              </w:rPr>
              <w:t>窗框</w:t>
            </w:r>
          </w:p>
        </w:tc>
        <w:tc>
          <w:tcPr>
            <w:tcW w:w="8610" w:type="dxa"/>
          </w:tcPr>
          <w:p w14:paraId="60626548">
            <w:pPr>
              <w:pStyle w:val="44"/>
              <w:spacing w:before="34" w:line="213" w:lineRule="auto"/>
              <w:ind w:left="26" w:right="162"/>
              <w:jc w:val="both"/>
              <w:rPr>
                <w:rFonts w:hint="eastAsia"/>
                <w:color w:val="auto"/>
                <w:sz w:val="21"/>
                <w:highlight w:val="none"/>
                <w:lang w:eastAsia="zh-CN"/>
              </w:rPr>
            </w:pPr>
            <w:r>
              <w:rPr>
                <w:color w:val="auto"/>
                <w:spacing w:val="-3"/>
                <w:sz w:val="21"/>
                <w:highlight w:val="none"/>
                <w:lang w:eastAsia="zh-CN"/>
              </w:rPr>
              <w:t>形式：外墙窗洞外侧或内侧增加金属窗框，以丰富窗户形态，增加立体感，窗框形式简约朴</w:t>
            </w:r>
            <w:r>
              <w:rPr>
                <w:color w:val="auto"/>
                <w:spacing w:val="-4"/>
                <w:sz w:val="21"/>
                <w:highlight w:val="none"/>
                <w:lang w:eastAsia="zh-CN"/>
              </w:rPr>
              <w:t xml:space="preserve">素，对角或四角可增加简单镂空装饰，装饰宜简单大方，不宜过于复杂，宽度宜 </w:t>
            </w:r>
            <w:r>
              <w:rPr>
                <w:rFonts w:ascii="Times New Roman" w:eastAsia="Times New Roman"/>
                <w:color w:val="auto"/>
                <w:sz w:val="21"/>
                <w:highlight w:val="none"/>
                <w:lang w:eastAsia="zh-CN"/>
              </w:rPr>
              <w:t>100</w:t>
            </w:r>
            <w:r>
              <w:rPr>
                <w:rFonts w:ascii="Times New Roman" w:eastAsia="Times New Roman"/>
                <w:color w:val="auto"/>
                <w:spacing w:val="19"/>
                <w:sz w:val="21"/>
                <w:highlight w:val="none"/>
                <w:lang w:eastAsia="zh-CN"/>
              </w:rPr>
              <w:t xml:space="preserve"> </w:t>
            </w:r>
            <w:r>
              <w:rPr>
                <w:color w:val="auto"/>
                <w:spacing w:val="-2"/>
                <w:sz w:val="21"/>
                <w:highlight w:val="none"/>
                <w:lang w:eastAsia="zh-CN"/>
              </w:rPr>
              <w:t>毫米。</w:t>
            </w:r>
            <w:r>
              <w:rPr>
                <w:color w:val="auto"/>
                <w:spacing w:val="-3"/>
                <w:sz w:val="21"/>
                <w:highlight w:val="none"/>
                <w:lang w:eastAsia="zh-CN"/>
              </w:rPr>
              <w:t>色彩：窗框颜色与墙面应形成对比。</w:t>
            </w:r>
          </w:p>
          <w:p w14:paraId="39D45419">
            <w:pPr>
              <w:pStyle w:val="44"/>
              <w:spacing w:line="245" w:lineRule="exact"/>
              <w:ind w:left="26"/>
              <w:jc w:val="left"/>
              <w:rPr>
                <w:rFonts w:hint="eastAsia"/>
                <w:color w:val="auto"/>
                <w:sz w:val="21"/>
                <w:highlight w:val="none"/>
                <w:lang w:eastAsia="zh-CN"/>
              </w:rPr>
            </w:pPr>
            <w:r>
              <w:rPr>
                <w:color w:val="auto"/>
                <w:spacing w:val="-3"/>
                <w:sz w:val="21"/>
                <w:highlight w:val="none"/>
                <w:lang w:eastAsia="zh-CN"/>
              </w:rPr>
              <w:t>材料：可选用铝合金、塑钢材质等。</w:t>
            </w:r>
          </w:p>
        </w:tc>
      </w:tr>
      <w:tr w14:paraId="168EC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346" w:type="dxa"/>
            <w:vMerge w:val="restart"/>
          </w:tcPr>
          <w:p w14:paraId="3A3F9567">
            <w:pPr>
              <w:pStyle w:val="44"/>
              <w:jc w:val="left"/>
              <w:rPr>
                <w:rFonts w:hint="eastAsia" w:ascii="微软雅黑"/>
                <w:b/>
                <w:color w:val="auto"/>
                <w:sz w:val="20"/>
                <w:highlight w:val="none"/>
                <w:lang w:eastAsia="zh-CN"/>
              </w:rPr>
            </w:pPr>
          </w:p>
          <w:p w14:paraId="34535A26">
            <w:pPr>
              <w:pStyle w:val="44"/>
              <w:jc w:val="left"/>
              <w:rPr>
                <w:rFonts w:hint="eastAsia" w:ascii="微软雅黑"/>
                <w:b/>
                <w:color w:val="auto"/>
                <w:sz w:val="20"/>
                <w:highlight w:val="none"/>
                <w:lang w:eastAsia="zh-CN"/>
              </w:rPr>
            </w:pPr>
          </w:p>
          <w:p w14:paraId="7CB63373">
            <w:pPr>
              <w:pStyle w:val="44"/>
              <w:jc w:val="left"/>
              <w:rPr>
                <w:rFonts w:hint="eastAsia" w:ascii="微软雅黑"/>
                <w:b/>
                <w:color w:val="auto"/>
                <w:sz w:val="20"/>
                <w:highlight w:val="none"/>
                <w:lang w:eastAsia="zh-CN"/>
              </w:rPr>
            </w:pPr>
          </w:p>
          <w:p w14:paraId="74E0C633">
            <w:pPr>
              <w:pStyle w:val="44"/>
              <w:spacing w:before="8"/>
              <w:jc w:val="left"/>
              <w:rPr>
                <w:rFonts w:hint="eastAsia" w:ascii="微软雅黑"/>
                <w:b/>
                <w:color w:val="auto"/>
                <w:sz w:val="10"/>
                <w:highlight w:val="none"/>
                <w:lang w:eastAsia="zh-CN"/>
              </w:rPr>
            </w:pPr>
          </w:p>
          <w:p w14:paraId="6E208371">
            <w:pPr>
              <w:pStyle w:val="44"/>
              <w:spacing w:line="213" w:lineRule="auto"/>
              <w:ind w:left="67" w:right="55"/>
              <w:jc w:val="left"/>
              <w:rPr>
                <w:rFonts w:hint="eastAsia"/>
                <w:color w:val="auto"/>
                <w:sz w:val="21"/>
                <w:highlight w:val="none"/>
              </w:rPr>
            </w:pPr>
            <w:r>
              <w:rPr>
                <w:color w:val="auto"/>
                <w:sz w:val="21"/>
                <w:highlight w:val="none"/>
              </w:rPr>
              <w:t>栏杆</w:t>
            </w:r>
          </w:p>
        </w:tc>
        <w:tc>
          <w:tcPr>
            <w:tcW w:w="782" w:type="dxa"/>
          </w:tcPr>
          <w:p w14:paraId="705F7C0F">
            <w:pPr>
              <w:pStyle w:val="44"/>
              <w:spacing w:before="6"/>
              <w:jc w:val="left"/>
              <w:rPr>
                <w:rFonts w:hint="eastAsia" w:ascii="微软雅黑"/>
                <w:b/>
                <w:color w:val="auto"/>
                <w:sz w:val="21"/>
                <w:highlight w:val="none"/>
              </w:rPr>
            </w:pPr>
          </w:p>
          <w:p w14:paraId="1A274EF3">
            <w:pPr>
              <w:pStyle w:val="44"/>
              <w:spacing w:line="213" w:lineRule="auto"/>
              <w:ind w:left="285" w:right="62" w:hanging="212"/>
              <w:jc w:val="left"/>
              <w:rPr>
                <w:rFonts w:hint="eastAsia"/>
                <w:color w:val="auto"/>
                <w:sz w:val="21"/>
                <w:highlight w:val="none"/>
              </w:rPr>
            </w:pPr>
            <w:r>
              <w:rPr>
                <w:color w:val="auto"/>
                <w:sz w:val="21"/>
                <w:highlight w:val="none"/>
              </w:rPr>
              <w:t>金属栏杆</w:t>
            </w:r>
          </w:p>
        </w:tc>
        <w:tc>
          <w:tcPr>
            <w:tcW w:w="8610" w:type="dxa"/>
          </w:tcPr>
          <w:p w14:paraId="710C91B9">
            <w:pPr>
              <w:pStyle w:val="44"/>
              <w:spacing w:before="10" w:line="255" w:lineRule="exact"/>
              <w:ind w:left="26"/>
              <w:jc w:val="left"/>
              <w:rPr>
                <w:rFonts w:hint="eastAsia"/>
                <w:color w:val="auto"/>
                <w:sz w:val="21"/>
                <w:highlight w:val="none"/>
                <w:lang w:eastAsia="zh-CN"/>
              </w:rPr>
            </w:pPr>
            <w:r>
              <w:rPr>
                <w:color w:val="auto"/>
                <w:sz w:val="21"/>
                <w:highlight w:val="none"/>
                <w:lang w:eastAsia="zh-CN"/>
              </w:rPr>
              <w:t xml:space="preserve">形式：栏杆高度在 </w:t>
            </w:r>
            <w:r>
              <w:rPr>
                <w:rFonts w:ascii="Times New Roman" w:eastAsia="Times New Roman"/>
                <w:color w:val="auto"/>
                <w:sz w:val="21"/>
                <w:highlight w:val="none"/>
                <w:lang w:eastAsia="zh-CN"/>
              </w:rPr>
              <w:t xml:space="preserve">1.1 </w:t>
            </w:r>
            <w:r>
              <w:rPr>
                <w:color w:val="auto"/>
                <w:sz w:val="21"/>
                <w:highlight w:val="none"/>
                <w:lang w:eastAsia="zh-CN"/>
              </w:rPr>
              <w:t xml:space="preserve">米以上，以保证安全，栏杆柱间距应小于 </w:t>
            </w:r>
            <w:r>
              <w:rPr>
                <w:rFonts w:ascii="Times New Roman" w:eastAsia="Times New Roman"/>
                <w:color w:val="auto"/>
                <w:sz w:val="21"/>
                <w:highlight w:val="none"/>
                <w:lang w:eastAsia="zh-CN"/>
              </w:rPr>
              <w:t xml:space="preserve">0.11 </w:t>
            </w:r>
            <w:r>
              <w:rPr>
                <w:color w:val="auto"/>
                <w:sz w:val="21"/>
                <w:highlight w:val="none"/>
                <w:lang w:eastAsia="zh-CN"/>
              </w:rPr>
              <w:t>米，栏杆离楼面或屋面</w:t>
            </w:r>
          </w:p>
          <w:p w14:paraId="0A3F510F">
            <w:pPr>
              <w:pStyle w:val="44"/>
              <w:spacing w:before="9" w:line="213" w:lineRule="auto"/>
              <w:ind w:left="26" w:right="59"/>
              <w:jc w:val="left"/>
              <w:rPr>
                <w:rFonts w:hint="eastAsia"/>
                <w:color w:val="auto"/>
                <w:sz w:val="21"/>
                <w:highlight w:val="none"/>
                <w:lang w:eastAsia="zh-CN"/>
              </w:rPr>
            </w:pPr>
            <w:r>
              <w:rPr>
                <w:rFonts w:ascii="Times New Roman" w:eastAsia="Times New Roman"/>
                <w:color w:val="auto"/>
                <w:sz w:val="21"/>
                <w:highlight w:val="none"/>
                <w:lang w:eastAsia="zh-CN"/>
              </w:rPr>
              <w:t xml:space="preserve">0.1 </w:t>
            </w:r>
            <w:r>
              <w:rPr>
                <w:color w:val="auto"/>
                <w:sz w:val="21"/>
                <w:highlight w:val="none"/>
                <w:lang w:eastAsia="zh-CN"/>
              </w:rPr>
              <w:t>米高度内不宜留空。栏杆扶手及柱子宽度不可过于粗犷，形式应简约朴素，应体现南方地区的灵动轻巧风格。</w:t>
            </w:r>
          </w:p>
          <w:p w14:paraId="3A1560D3">
            <w:pPr>
              <w:pStyle w:val="44"/>
              <w:spacing w:line="233" w:lineRule="exact"/>
              <w:ind w:left="26"/>
              <w:jc w:val="left"/>
              <w:rPr>
                <w:rFonts w:hint="eastAsia"/>
                <w:color w:val="auto"/>
                <w:sz w:val="21"/>
                <w:highlight w:val="none"/>
                <w:lang w:eastAsia="zh-CN"/>
              </w:rPr>
            </w:pPr>
            <w:r>
              <w:rPr>
                <w:color w:val="auto"/>
                <w:sz w:val="21"/>
                <w:highlight w:val="none"/>
                <w:lang w:eastAsia="zh-CN"/>
              </w:rPr>
              <w:t>色彩：应与墙面形成对比，宜与窗框同色系。</w:t>
            </w:r>
          </w:p>
          <w:p w14:paraId="61305737">
            <w:pPr>
              <w:pStyle w:val="44"/>
              <w:spacing w:line="250" w:lineRule="exact"/>
              <w:ind w:left="26"/>
              <w:jc w:val="left"/>
              <w:rPr>
                <w:rFonts w:hint="eastAsia"/>
                <w:color w:val="auto"/>
                <w:sz w:val="21"/>
                <w:highlight w:val="none"/>
                <w:lang w:eastAsia="zh-CN"/>
              </w:rPr>
            </w:pPr>
            <w:r>
              <w:rPr>
                <w:color w:val="auto"/>
                <w:sz w:val="21"/>
                <w:highlight w:val="none"/>
                <w:lang w:eastAsia="zh-CN"/>
              </w:rPr>
              <w:t>材料：可选用铝合金、塑钢等，不宜选用原色调（银色）的铝合金。</w:t>
            </w:r>
          </w:p>
        </w:tc>
      </w:tr>
      <w:tr w14:paraId="2CF6D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346" w:type="dxa"/>
            <w:vMerge w:val="continue"/>
            <w:tcBorders>
              <w:top w:val="nil"/>
            </w:tcBorders>
          </w:tcPr>
          <w:p w14:paraId="7F7405A9">
            <w:pPr>
              <w:rPr>
                <w:rFonts w:hint="eastAsia"/>
                <w:color w:val="auto"/>
                <w:sz w:val="2"/>
                <w:szCs w:val="2"/>
                <w:highlight w:val="none"/>
                <w:lang w:eastAsia="zh-CN"/>
              </w:rPr>
            </w:pPr>
          </w:p>
        </w:tc>
        <w:tc>
          <w:tcPr>
            <w:tcW w:w="782" w:type="dxa"/>
          </w:tcPr>
          <w:p w14:paraId="210A129E">
            <w:pPr>
              <w:pStyle w:val="44"/>
              <w:spacing w:before="33" w:line="213" w:lineRule="auto"/>
              <w:ind w:left="179" w:right="62" w:hanging="106"/>
              <w:jc w:val="left"/>
              <w:rPr>
                <w:rFonts w:hint="eastAsia"/>
                <w:color w:val="auto"/>
                <w:sz w:val="21"/>
                <w:highlight w:val="none"/>
              </w:rPr>
            </w:pPr>
            <w:r>
              <w:rPr>
                <w:color w:val="auto"/>
                <w:sz w:val="21"/>
                <w:highlight w:val="none"/>
              </w:rPr>
              <w:t>混凝土栏杆</w:t>
            </w:r>
          </w:p>
        </w:tc>
        <w:tc>
          <w:tcPr>
            <w:tcW w:w="8610" w:type="dxa"/>
          </w:tcPr>
          <w:p w14:paraId="1A78F25F">
            <w:pPr>
              <w:pStyle w:val="44"/>
              <w:spacing w:before="33" w:line="213" w:lineRule="auto"/>
              <w:ind w:left="26" w:right="479"/>
              <w:jc w:val="left"/>
              <w:rPr>
                <w:rFonts w:hint="eastAsia"/>
                <w:color w:val="auto"/>
                <w:sz w:val="21"/>
                <w:highlight w:val="none"/>
                <w:lang w:eastAsia="zh-CN"/>
              </w:rPr>
            </w:pPr>
            <w:r>
              <w:rPr>
                <w:color w:val="auto"/>
                <w:spacing w:val="-8"/>
                <w:sz w:val="21"/>
                <w:highlight w:val="none"/>
                <w:lang w:eastAsia="zh-CN"/>
              </w:rPr>
              <w:t xml:space="preserve">形式：栏杆高度在 </w:t>
            </w:r>
            <w:r>
              <w:rPr>
                <w:rFonts w:ascii="Times New Roman" w:eastAsia="Times New Roman"/>
                <w:color w:val="auto"/>
                <w:sz w:val="21"/>
                <w:highlight w:val="none"/>
                <w:lang w:eastAsia="zh-CN"/>
              </w:rPr>
              <w:t xml:space="preserve">1.1 </w:t>
            </w:r>
            <w:r>
              <w:rPr>
                <w:color w:val="auto"/>
                <w:spacing w:val="-6"/>
                <w:sz w:val="21"/>
                <w:highlight w:val="none"/>
                <w:lang w:eastAsia="zh-CN"/>
              </w:rPr>
              <w:t xml:space="preserve">米以上，以保证安全，栏杆离楼面或屋面 </w:t>
            </w:r>
            <w:r>
              <w:rPr>
                <w:rFonts w:ascii="Times New Roman" w:eastAsia="Times New Roman"/>
                <w:color w:val="auto"/>
                <w:sz w:val="21"/>
                <w:highlight w:val="none"/>
                <w:lang w:eastAsia="zh-CN"/>
              </w:rPr>
              <w:t xml:space="preserve">0.1 </w:t>
            </w:r>
            <w:r>
              <w:rPr>
                <w:color w:val="auto"/>
                <w:spacing w:val="-3"/>
                <w:sz w:val="21"/>
                <w:highlight w:val="none"/>
                <w:lang w:eastAsia="zh-CN"/>
              </w:rPr>
              <w:t>米高度内不宜留空。色彩：宜与墙面同色系。</w:t>
            </w:r>
          </w:p>
        </w:tc>
      </w:tr>
      <w:tr w14:paraId="76604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346" w:type="dxa"/>
            <w:vMerge w:val="continue"/>
            <w:tcBorders>
              <w:top w:val="nil"/>
            </w:tcBorders>
          </w:tcPr>
          <w:p w14:paraId="14CDB3D1">
            <w:pPr>
              <w:rPr>
                <w:rFonts w:hint="eastAsia"/>
                <w:color w:val="auto"/>
                <w:sz w:val="2"/>
                <w:szCs w:val="2"/>
                <w:highlight w:val="none"/>
                <w:lang w:eastAsia="zh-CN"/>
              </w:rPr>
            </w:pPr>
          </w:p>
        </w:tc>
        <w:tc>
          <w:tcPr>
            <w:tcW w:w="782" w:type="dxa"/>
          </w:tcPr>
          <w:p w14:paraId="32782641">
            <w:pPr>
              <w:pStyle w:val="44"/>
              <w:spacing w:before="6"/>
              <w:jc w:val="left"/>
              <w:rPr>
                <w:rFonts w:hint="eastAsia" w:ascii="微软雅黑"/>
                <w:b/>
                <w:color w:val="auto"/>
                <w:sz w:val="21"/>
                <w:highlight w:val="none"/>
                <w:lang w:eastAsia="zh-CN"/>
              </w:rPr>
            </w:pPr>
          </w:p>
          <w:p w14:paraId="46605079">
            <w:pPr>
              <w:pStyle w:val="44"/>
              <w:spacing w:line="213" w:lineRule="auto"/>
              <w:ind w:left="285" w:right="62" w:hanging="212"/>
              <w:jc w:val="left"/>
              <w:rPr>
                <w:rFonts w:hint="eastAsia"/>
                <w:color w:val="auto"/>
                <w:sz w:val="21"/>
                <w:highlight w:val="none"/>
              </w:rPr>
            </w:pPr>
            <w:r>
              <w:rPr>
                <w:color w:val="auto"/>
                <w:sz w:val="21"/>
                <w:highlight w:val="none"/>
              </w:rPr>
              <w:t>组合栏杆</w:t>
            </w:r>
          </w:p>
        </w:tc>
        <w:tc>
          <w:tcPr>
            <w:tcW w:w="8610" w:type="dxa"/>
          </w:tcPr>
          <w:p w14:paraId="1AF30792">
            <w:pPr>
              <w:pStyle w:val="44"/>
              <w:spacing w:before="10" w:line="255" w:lineRule="exact"/>
              <w:ind w:left="26"/>
              <w:jc w:val="left"/>
              <w:rPr>
                <w:rFonts w:hint="eastAsia"/>
                <w:color w:val="auto"/>
                <w:sz w:val="21"/>
                <w:highlight w:val="none"/>
                <w:lang w:eastAsia="zh-CN"/>
              </w:rPr>
            </w:pPr>
            <w:r>
              <w:rPr>
                <w:color w:val="auto"/>
                <w:sz w:val="21"/>
                <w:highlight w:val="none"/>
                <w:lang w:eastAsia="zh-CN"/>
              </w:rPr>
              <w:t xml:space="preserve">形式：金属栏杆、瓦片与砖砌体（裸墙或刷漆）等多种材料组合而成。栏杆高度在 </w:t>
            </w:r>
            <w:r>
              <w:rPr>
                <w:rFonts w:ascii="Times New Roman" w:eastAsia="Times New Roman"/>
                <w:color w:val="auto"/>
                <w:sz w:val="21"/>
                <w:highlight w:val="none"/>
                <w:lang w:eastAsia="zh-CN"/>
              </w:rPr>
              <w:t xml:space="preserve">1.1 </w:t>
            </w:r>
            <w:r>
              <w:rPr>
                <w:color w:val="auto"/>
                <w:sz w:val="21"/>
                <w:highlight w:val="none"/>
                <w:lang w:eastAsia="zh-CN"/>
              </w:rPr>
              <w:t xml:space="preserve">米以上，以保证安全，栏杆离楼面或屋面 </w:t>
            </w:r>
            <w:r>
              <w:rPr>
                <w:rFonts w:ascii="Times New Roman" w:eastAsia="Times New Roman"/>
                <w:color w:val="auto"/>
                <w:sz w:val="21"/>
                <w:highlight w:val="none"/>
                <w:lang w:eastAsia="zh-CN"/>
              </w:rPr>
              <w:t xml:space="preserve">0.1 </w:t>
            </w:r>
            <w:r>
              <w:rPr>
                <w:color w:val="auto"/>
                <w:sz w:val="21"/>
                <w:highlight w:val="none"/>
                <w:lang w:eastAsia="zh-CN"/>
              </w:rPr>
              <w:t>米高度内不宜留空。形式应简约朴素，应体现南方地区的灵动轻巧风格。</w:t>
            </w:r>
          </w:p>
          <w:p w14:paraId="78761E2A">
            <w:pPr>
              <w:pStyle w:val="44"/>
              <w:spacing w:line="233" w:lineRule="exact"/>
              <w:ind w:left="26"/>
              <w:jc w:val="left"/>
              <w:rPr>
                <w:rFonts w:hint="eastAsia"/>
                <w:color w:val="auto"/>
                <w:sz w:val="21"/>
                <w:highlight w:val="none"/>
                <w:lang w:eastAsia="zh-CN"/>
              </w:rPr>
            </w:pPr>
            <w:r>
              <w:rPr>
                <w:color w:val="auto"/>
                <w:sz w:val="21"/>
                <w:highlight w:val="none"/>
                <w:lang w:eastAsia="zh-CN"/>
              </w:rPr>
              <w:t>色彩：与墙面应形成对比，建议与窗框同色系。</w:t>
            </w:r>
          </w:p>
          <w:p w14:paraId="66701EF3">
            <w:pPr>
              <w:pStyle w:val="44"/>
              <w:spacing w:line="250" w:lineRule="exact"/>
              <w:ind w:left="26"/>
              <w:jc w:val="left"/>
              <w:rPr>
                <w:rFonts w:hint="eastAsia"/>
                <w:color w:val="auto"/>
                <w:sz w:val="21"/>
                <w:highlight w:val="none"/>
                <w:lang w:eastAsia="zh-CN"/>
              </w:rPr>
            </w:pPr>
            <w:r>
              <w:rPr>
                <w:color w:val="auto"/>
                <w:sz w:val="21"/>
                <w:highlight w:val="none"/>
                <w:lang w:eastAsia="zh-CN"/>
              </w:rPr>
              <w:t>材料：可选用铝合金、混凝土等。不宜选用原色调（银色）的铝合金。</w:t>
            </w:r>
          </w:p>
        </w:tc>
      </w:tr>
      <w:tr w14:paraId="54D8F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346" w:type="dxa"/>
            <w:vMerge w:val="restart"/>
          </w:tcPr>
          <w:p w14:paraId="67895587">
            <w:pPr>
              <w:pStyle w:val="44"/>
              <w:spacing w:before="67" w:line="213" w:lineRule="auto"/>
              <w:ind w:left="67" w:right="55"/>
              <w:jc w:val="both"/>
              <w:rPr>
                <w:rFonts w:hint="eastAsia"/>
                <w:color w:val="auto"/>
                <w:sz w:val="21"/>
                <w:highlight w:val="none"/>
              </w:rPr>
            </w:pPr>
            <w:r>
              <w:rPr>
                <w:color w:val="auto"/>
                <w:sz w:val="21"/>
                <w:highlight w:val="none"/>
              </w:rPr>
              <w:t>图案装饰</w:t>
            </w:r>
          </w:p>
        </w:tc>
        <w:tc>
          <w:tcPr>
            <w:tcW w:w="782" w:type="dxa"/>
          </w:tcPr>
          <w:p w14:paraId="1AA300F9">
            <w:pPr>
              <w:pStyle w:val="44"/>
              <w:spacing w:before="33" w:line="213" w:lineRule="auto"/>
              <w:ind w:left="74" w:right="62"/>
              <w:jc w:val="left"/>
              <w:rPr>
                <w:rFonts w:hint="eastAsia"/>
                <w:color w:val="auto"/>
                <w:sz w:val="21"/>
                <w:highlight w:val="none"/>
              </w:rPr>
            </w:pPr>
            <w:r>
              <w:rPr>
                <w:color w:val="auto"/>
                <w:sz w:val="21"/>
                <w:highlight w:val="none"/>
              </w:rPr>
              <w:t>建筑山花装饰</w:t>
            </w:r>
          </w:p>
        </w:tc>
        <w:tc>
          <w:tcPr>
            <w:tcW w:w="8610" w:type="dxa"/>
          </w:tcPr>
          <w:p w14:paraId="7A691DA1">
            <w:pPr>
              <w:pStyle w:val="44"/>
              <w:spacing w:before="10" w:line="255" w:lineRule="exact"/>
              <w:ind w:left="26"/>
              <w:jc w:val="left"/>
              <w:rPr>
                <w:rFonts w:hint="eastAsia"/>
                <w:color w:val="auto"/>
                <w:sz w:val="21"/>
                <w:highlight w:val="none"/>
                <w:lang w:eastAsia="zh-CN"/>
              </w:rPr>
            </w:pPr>
            <w:r>
              <w:rPr>
                <w:color w:val="auto"/>
                <w:sz w:val="21"/>
                <w:highlight w:val="none"/>
                <w:lang w:eastAsia="zh-CN"/>
              </w:rPr>
              <w:t>形式：应用于建筑山墙处，采用墙绘或立体构件的形式。</w:t>
            </w:r>
          </w:p>
          <w:p w14:paraId="2DA2AD24">
            <w:pPr>
              <w:pStyle w:val="44"/>
              <w:spacing w:line="252" w:lineRule="exact"/>
              <w:ind w:left="26"/>
              <w:jc w:val="left"/>
              <w:rPr>
                <w:rFonts w:hint="eastAsia"/>
                <w:color w:val="auto"/>
                <w:sz w:val="21"/>
                <w:highlight w:val="none"/>
                <w:lang w:eastAsia="zh-CN"/>
              </w:rPr>
            </w:pPr>
            <w:r>
              <w:rPr>
                <w:color w:val="auto"/>
                <w:sz w:val="21"/>
                <w:highlight w:val="none"/>
                <w:lang w:eastAsia="zh-CN"/>
              </w:rPr>
              <w:t>色彩与材料：色彩与墙面应形成对比，材料可选用涂料、真石漆等。</w:t>
            </w:r>
          </w:p>
        </w:tc>
      </w:tr>
      <w:tr w14:paraId="65B0F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346" w:type="dxa"/>
            <w:vMerge w:val="continue"/>
            <w:tcBorders>
              <w:top w:val="nil"/>
            </w:tcBorders>
          </w:tcPr>
          <w:p w14:paraId="228C5CB1">
            <w:pPr>
              <w:rPr>
                <w:rFonts w:hint="eastAsia"/>
                <w:color w:val="auto"/>
                <w:sz w:val="2"/>
                <w:szCs w:val="2"/>
                <w:highlight w:val="none"/>
                <w:lang w:eastAsia="zh-CN"/>
              </w:rPr>
            </w:pPr>
          </w:p>
        </w:tc>
        <w:tc>
          <w:tcPr>
            <w:tcW w:w="782" w:type="dxa"/>
          </w:tcPr>
          <w:p w14:paraId="7DCCA746">
            <w:pPr>
              <w:pStyle w:val="44"/>
              <w:spacing w:before="33" w:line="213" w:lineRule="auto"/>
              <w:ind w:left="74" w:right="62"/>
              <w:jc w:val="left"/>
              <w:rPr>
                <w:rFonts w:hint="eastAsia"/>
                <w:color w:val="auto"/>
                <w:sz w:val="21"/>
                <w:highlight w:val="none"/>
              </w:rPr>
            </w:pPr>
            <w:r>
              <w:rPr>
                <w:color w:val="auto"/>
                <w:sz w:val="21"/>
                <w:highlight w:val="none"/>
              </w:rPr>
              <w:t>建筑腰线装饰</w:t>
            </w:r>
          </w:p>
        </w:tc>
        <w:tc>
          <w:tcPr>
            <w:tcW w:w="8610" w:type="dxa"/>
          </w:tcPr>
          <w:p w14:paraId="2F3A1261">
            <w:pPr>
              <w:pStyle w:val="44"/>
              <w:spacing w:before="10" w:line="255" w:lineRule="exact"/>
              <w:ind w:left="26"/>
              <w:jc w:val="left"/>
              <w:rPr>
                <w:rFonts w:hint="eastAsia"/>
                <w:color w:val="auto"/>
                <w:sz w:val="21"/>
                <w:highlight w:val="none"/>
                <w:lang w:eastAsia="zh-CN"/>
              </w:rPr>
            </w:pPr>
            <w:r>
              <w:rPr>
                <w:color w:val="auto"/>
                <w:sz w:val="21"/>
                <w:highlight w:val="none"/>
                <w:lang w:eastAsia="zh-CN"/>
              </w:rPr>
              <w:t>形式：应用于建筑分层处形成建筑腰线，采用墙绘的形式。</w:t>
            </w:r>
          </w:p>
          <w:p w14:paraId="61DFE715">
            <w:pPr>
              <w:pStyle w:val="44"/>
              <w:spacing w:line="252" w:lineRule="exact"/>
              <w:ind w:left="26"/>
              <w:jc w:val="left"/>
              <w:rPr>
                <w:rFonts w:hint="eastAsia"/>
                <w:color w:val="auto"/>
                <w:sz w:val="21"/>
                <w:highlight w:val="none"/>
                <w:lang w:eastAsia="zh-CN"/>
              </w:rPr>
            </w:pPr>
            <w:r>
              <w:rPr>
                <w:color w:val="auto"/>
                <w:sz w:val="21"/>
                <w:highlight w:val="none"/>
                <w:lang w:eastAsia="zh-CN"/>
              </w:rPr>
              <w:t>色彩与材料：色彩与墙面应形成对比，材料可选用涂料、真石漆等。</w:t>
            </w:r>
          </w:p>
        </w:tc>
      </w:tr>
    </w:tbl>
    <w:p w14:paraId="11306A0A">
      <w:pPr>
        <w:spacing w:line="252" w:lineRule="exact"/>
        <w:rPr>
          <w:rFonts w:hint="eastAsia"/>
          <w:color w:val="auto"/>
          <w:sz w:val="21"/>
          <w:highlight w:val="none"/>
          <w:lang w:eastAsia="zh-CN"/>
        </w:rPr>
        <w:sectPr>
          <w:pgSz w:w="11910" w:h="16840"/>
          <w:pgMar w:top="1418" w:right="851" w:bottom="1418" w:left="1134" w:header="0" w:footer="603" w:gutter="0"/>
          <w:pgNumType w:fmt="decimal"/>
          <w:cols w:space="720" w:num="1"/>
        </w:sectPr>
      </w:pPr>
    </w:p>
    <w:p w14:paraId="156DF0AB">
      <w:pPr>
        <w:pStyle w:val="5"/>
        <w:keepNext w:val="0"/>
        <w:keepLines w:val="0"/>
        <w:spacing w:before="0" w:after="0"/>
        <w:ind w:right="298"/>
        <w:jc w:val="center"/>
        <w:rPr>
          <w:rFonts w:hint="eastAsia" w:ascii="微软雅黑" w:hAnsi="微软雅黑" w:eastAsia="微软雅黑" w:cs="微软雅黑"/>
          <w:b/>
          <w:bCs/>
          <w:color w:val="auto"/>
          <w:sz w:val="30"/>
          <w:szCs w:val="30"/>
          <w:highlight w:val="none"/>
          <w:lang w:eastAsia="zh-CN"/>
        </w:rPr>
      </w:pPr>
      <w:bookmarkStart w:id="59" w:name="_bookmark42"/>
      <w:bookmarkEnd w:id="59"/>
      <w:bookmarkStart w:id="60" w:name="_bookmark40"/>
      <w:bookmarkEnd w:id="60"/>
      <w:r>
        <w:rPr>
          <w:rFonts w:ascii="微软雅黑" w:hAnsi="微软雅黑" w:eastAsia="微软雅黑" w:cs="微软雅黑"/>
          <w:b/>
          <w:bCs/>
          <w:color w:val="auto"/>
          <w:sz w:val="30"/>
          <w:szCs w:val="30"/>
          <w:highlight w:val="none"/>
          <w:lang w:eastAsia="zh-CN"/>
        </w:rPr>
        <w:t>附表</w:t>
      </w:r>
      <w:r>
        <w:rPr>
          <w:rFonts w:hint="eastAsia" w:ascii="微软雅黑" w:hAnsi="微软雅黑" w:eastAsia="微软雅黑" w:cs="微软雅黑"/>
          <w:b/>
          <w:bCs/>
          <w:color w:val="auto"/>
          <w:sz w:val="30"/>
          <w:szCs w:val="30"/>
          <w:highlight w:val="none"/>
          <w:lang w:val="en-US" w:eastAsia="zh-CN"/>
        </w:rPr>
        <w:t>七</w:t>
      </w:r>
      <w:r>
        <w:rPr>
          <w:rFonts w:ascii="微软雅黑" w:hAnsi="微软雅黑" w:eastAsia="微软雅黑" w:cs="微软雅黑"/>
          <w:b/>
          <w:bCs/>
          <w:color w:val="auto"/>
          <w:sz w:val="30"/>
          <w:szCs w:val="30"/>
          <w:highlight w:val="none"/>
          <w:lang w:eastAsia="zh-CN"/>
        </w:rPr>
        <w:t xml:space="preserve"> </w:t>
      </w:r>
      <w:r>
        <w:rPr>
          <w:rFonts w:hint="eastAsia" w:ascii="微软雅黑" w:hAnsi="微软雅黑" w:eastAsia="微软雅黑" w:cs="微软雅黑"/>
          <w:b/>
          <w:bCs/>
          <w:color w:val="auto"/>
          <w:sz w:val="30"/>
          <w:szCs w:val="30"/>
          <w:highlight w:val="none"/>
          <w:lang w:eastAsia="zh-CN"/>
        </w:rPr>
        <w:t>柳南区</w:t>
      </w:r>
      <w:r>
        <w:rPr>
          <w:rFonts w:ascii="微软雅黑" w:hAnsi="微软雅黑" w:eastAsia="微软雅黑" w:cs="微软雅黑"/>
          <w:b/>
          <w:bCs/>
          <w:color w:val="auto"/>
          <w:sz w:val="30"/>
          <w:szCs w:val="30"/>
          <w:highlight w:val="none"/>
          <w:lang w:eastAsia="zh-CN"/>
        </w:rPr>
        <w:t>滨水岸线乡村建设指引表</w:t>
      </w:r>
    </w:p>
    <w:p w14:paraId="35B6822D">
      <w:pPr>
        <w:pStyle w:val="11"/>
        <w:spacing w:before="5" w:after="1"/>
        <w:ind w:left="0"/>
        <w:rPr>
          <w:rFonts w:hint="eastAsia" w:ascii="微软雅黑"/>
          <w:b/>
          <w:color w:val="auto"/>
          <w:sz w:val="6"/>
          <w:highlight w:val="none"/>
          <w:lang w:eastAsia="zh-CN"/>
        </w:rPr>
      </w:pPr>
    </w:p>
    <w:tbl>
      <w:tblPr>
        <w:tblStyle w:val="42"/>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778"/>
        <w:gridCol w:w="1895"/>
        <w:gridCol w:w="2233"/>
        <w:gridCol w:w="4279"/>
      </w:tblGrid>
      <w:tr w14:paraId="5DFE6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333" w:type="dxa"/>
            <w:gridSpan w:val="2"/>
            <w:vMerge w:val="restart"/>
          </w:tcPr>
          <w:p w14:paraId="35ACB8B6">
            <w:pPr>
              <w:pStyle w:val="44"/>
              <w:spacing w:before="164"/>
              <w:ind w:left="437" w:right="426"/>
              <w:rPr>
                <w:rFonts w:hint="eastAsia"/>
                <w:color w:val="auto"/>
                <w:sz w:val="21"/>
                <w:highlight w:val="none"/>
              </w:rPr>
            </w:pPr>
            <w:r>
              <w:rPr>
                <w:color w:val="auto"/>
                <w:sz w:val="21"/>
                <w:highlight w:val="none"/>
              </w:rPr>
              <w:t>指标</w:t>
            </w:r>
          </w:p>
        </w:tc>
        <w:tc>
          <w:tcPr>
            <w:tcW w:w="8407" w:type="dxa"/>
            <w:gridSpan w:val="3"/>
          </w:tcPr>
          <w:p w14:paraId="3E36F915">
            <w:pPr>
              <w:pStyle w:val="44"/>
              <w:spacing w:before="10" w:line="267" w:lineRule="exact"/>
              <w:ind w:left="3763" w:right="3754"/>
              <w:rPr>
                <w:rFonts w:hint="eastAsia"/>
                <w:color w:val="auto"/>
                <w:sz w:val="21"/>
                <w:highlight w:val="none"/>
              </w:rPr>
            </w:pPr>
            <w:r>
              <w:rPr>
                <w:color w:val="auto"/>
                <w:sz w:val="21"/>
                <w:highlight w:val="none"/>
              </w:rPr>
              <w:t>河段宽度</w:t>
            </w:r>
          </w:p>
        </w:tc>
      </w:tr>
      <w:tr w14:paraId="309AA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333" w:type="dxa"/>
            <w:gridSpan w:val="2"/>
            <w:vMerge w:val="continue"/>
            <w:tcBorders>
              <w:top w:val="nil"/>
            </w:tcBorders>
          </w:tcPr>
          <w:p w14:paraId="02F8519A">
            <w:pPr>
              <w:rPr>
                <w:rFonts w:hint="eastAsia"/>
                <w:color w:val="auto"/>
                <w:sz w:val="2"/>
                <w:szCs w:val="2"/>
                <w:highlight w:val="none"/>
              </w:rPr>
            </w:pPr>
          </w:p>
        </w:tc>
        <w:tc>
          <w:tcPr>
            <w:tcW w:w="1895" w:type="dxa"/>
          </w:tcPr>
          <w:p w14:paraId="0B5F2E6E">
            <w:pPr>
              <w:pStyle w:val="44"/>
              <w:spacing w:before="10" w:line="264" w:lineRule="exact"/>
              <w:ind w:right="745"/>
              <w:jc w:val="center"/>
              <w:rPr>
                <w:rFonts w:hint="eastAsia"/>
                <w:color w:val="auto"/>
                <w:sz w:val="21"/>
                <w:highlight w:val="none"/>
              </w:rPr>
            </w:pPr>
            <w:r>
              <w:rPr>
                <w:color w:val="auto"/>
                <w:sz w:val="21"/>
                <w:highlight w:val="none"/>
              </w:rPr>
              <w:t>＜</w:t>
            </w:r>
            <w:r>
              <w:rPr>
                <w:rFonts w:ascii="Times New Roman" w:eastAsia="Times New Roman"/>
                <w:color w:val="auto"/>
                <w:sz w:val="21"/>
                <w:highlight w:val="none"/>
              </w:rPr>
              <w:t xml:space="preserve">10 </w:t>
            </w:r>
            <w:r>
              <w:rPr>
                <w:color w:val="auto"/>
                <w:sz w:val="21"/>
                <w:highlight w:val="none"/>
              </w:rPr>
              <w:t>米</w:t>
            </w:r>
          </w:p>
        </w:tc>
        <w:tc>
          <w:tcPr>
            <w:tcW w:w="2233" w:type="dxa"/>
            <w:tcBorders>
              <w:right w:val="single" w:color="000000" w:sz="6" w:space="0"/>
            </w:tcBorders>
          </w:tcPr>
          <w:p w14:paraId="5D84EF41">
            <w:pPr>
              <w:pStyle w:val="44"/>
              <w:spacing w:before="10" w:line="264" w:lineRule="exact"/>
              <w:ind w:left="639"/>
              <w:jc w:val="both"/>
              <w:rPr>
                <w:rFonts w:hint="eastAsia"/>
                <w:color w:val="auto"/>
                <w:sz w:val="21"/>
                <w:highlight w:val="none"/>
              </w:rPr>
            </w:pPr>
            <w:r>
              <w:rPr>
                <w:rFonts w:ascii="Times New Roman" w:eastAsia="Times New Roman"/>
                <w:color w:val="auto"/>
                <w:sz w:val="21"/>
                <w:highlight w:val="none"/>
              </w:rPr>
              <w:t xml:space="preserve">15-50 </w:t>
            </w:r>
            <w:r>
              <w:rPr>
                <w:color w:val="auto"/>
                <w:sz w:val="21"/>
                <w:highlight w:val="none"/>
              </w:rPr>
              <w:t>米</w:t>
            </w:r>
          </w:p>
        </w:tc>
        <w:tc>
          <w:tcPr>
            <w:tcW w:w="4279" w:type="dxa"/>
            <w:tcBorders>
              <w:left w:val="single" w:color="000000" w:sz="6" w:space="0"/>
            </w:tcBorders>
          </w:tcPr>
          <w:p w14:paraId="4FDB7169">
            <w:pPr>
              <w:pStyle w:val="44"/>
              <w:spacing w:before="10" w:line="264" w:lineRule="exact"/>
              <w:ind w:right="1696"/>
              <w:jc w:val="center"/>
              <w:rPr>
                <w:rFonts w:hint="eastAsia"/>
                <w:color w:val="auto"/>
                <w:sz w:val="21"/>
                <w:highlight w:val="none"/>
              </w:rPr>
            </w:pPr>
            <w:r>
              <w:rPr>
                <w:color w:val="auto"/>
                <w:sz w:val="21"/>
                <w:highlight w:val="none"/>
              </w:rPr>
              <w:t>＞</w:t>
            </w:r>
            <w:r>
              <w:rPr>
                <w:rFonts w:ascii="Times New Roman" w:eastAsia="Times New Roman"/>
                <w:color w:val="auto"/>
                <w:sz w:val="21"/>
                <w:highlight w:val="none"/>
              </w:rPr>
              <w:t xml:space="preserve">50 </w:t>
            </w:r>
            <w:r>
              <w:rPr>
                <w:color w:val="auto"/>
                <w:sz w:val="21"/>
                <w:highlight w:val="none"/>
              </w:rPr>
              <w:t>米</w:t>
            </w:r>
          </w:p>
        </w:tc>
      </w:tr>
      <w:tr w14:paraId="4D971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1333" w:type="dxa"/>
            <w:gridSpan w:val="2"/>
          </w:tcPr>
          <w:p w14:paraId="39095C99">
            <w:pPr>
              <w:pStyle w:val="44"/>
              <w:jc w:val="left"/>
              <w:rPr>
                <w:rFonts w:hint="eastAsia" w:ascii="微软雅黑"/>
                <w:b/>
                <w:color w:val="auto"/>
                <w:sz w:val="20"/>
                <w:highlight w:val="none"/>
              </w:rPr>
            </w:pPr>
          </w:p>
          <w:p w14:paraId="373220FD">
            <w:pPr>
              <w:pStyle w:val="44"/>
              <w:spacing w:before="2"/>
              <w:jc w:val="left"/>
              <w:rPr>
                <w:rFonts w:hint="eastAsia" w:ascii="微软雅黑"/>
                <w:b/>
                <w:color w:val="auto"/>
                <w:sz w:val="13"/>
                <w:highlight w:val="none"/>
              </w:rPr>
            </w:pPr>
          </w:p>
          <w:p w14:paraId="192867B9">
            <w:pPr>
              <w:pStyle w:val="44"/>
              <w:ind w:left="246"/>
              <w:jc w:val="left"/>
              <w:rPr>
                <w:rFonts w:hint="eastAsia"/>
                <w:color w:val="auto"/>
                <w:sz w:val="21"/>
                <w:highlight w:val="none"/>
              </w:rPr>
            </w:pPr>
            <w:r>
              <w:rPr>
                <w:color w:val="auto"/>
                <w:sz w:val="21"/>
                <w:highlight w:val="none"/>
              </w:rPr>
              <w:t>建筑退让</w:t>
            </w:r>
          </w:p>
        </w:tc>
        <w:tc>
          <w:tcPr>
            <w:tcW w:w="4128" w:type="dxa"/>
            <w:gridSpan w:val="2"/>
            <w:tcBorders>
              <w:right w:val="single" w:color="000000" w:sz="6" w:space="0"/>
            </w:tcBorders>
          </w:tcPr>
          <w:p w14:paraId="3E1FE791">
            <w:pPr>
              <w:pStyle w:val="44"/>
              <w:spacing w:before="11"/>
              <w:jc w:val="left"/>
              <w:rPr>
                <w:rFonts w:hint="eastAsia" w:ascii="微软雅黑"/>
                <w:b/>
                <w:color w:val="auto"/>
                <w:sz w:val="26"/>
                <w:highlight w:val="none"/>
              </w:rPr>
            </w:pPr>
          </w:p>
          <w:p w14:paraId="69038AD4">
            <w:pPr>
              <w:pStyle w:val="44"/>
              <w:numPr>
                <w:ilvl w:val="0"/>
                <w:numId w:val="15"/>
              </w:numPr>
              <w:tabs>
                <w:tab w:val="left" w:pos="188"/>
              </w:tabs>
              <w:spacing w:line="255" w:lineRule="exact"/>
              <w:ind w:hanging="161"/>
              <w:jc w:val="left"/>
              <w:rPr>
                <w:rFonts w:hint="eastAsia"/>
                <w:color w:val="auto"/>
                <w:sz w:val="21"/>
                <w:highlight w:val="none"/>
                <w:lang w:eastAsia="zh-CN"/>
              </w:rPr>
            </w:pPr>
            <w:r>
              <w:rPr>
                <w:color w:val="auto"/>
                <w:spacing w:val="-3"/>
                <w:sz w:val="21"/>
                <w:highlight w:val="none"/>
                <w:lang w:eastAsia="zh-CN"/>
              </w:rPr>
              <w:t>建筑可紧邻水体，与驳岸边缘相接；</w:t>
            </w:r>
          </w:p>
          <w:p w14:paraId="47F1C919">
            <w:pPr>
              <w:pStyle w:val="44"/>
              <w:numPr>
                <w:ilvl w:val="0"/>
                <w:numId w:val="15"/>
              </w:numPr>
              <w:tabs>
                <w:tab w:val="left" w:pos="188"/>
              </w:tabs>
              <w:spacing w:line="255" w:lineRule="exact"/>
              <w:ind w:hanging="161"/>
              <w:jc w:val="left"/>
              <w:rPr>
                <w:rFonts w:hint="eastAsia"/>
                <w:color w:val="auto"/>
                <w:sz w:val="21"/>
                <w:highlight w:val="none"/>
                <w:lang w:eastAsia="zh-CN"/>
              </w:rPr>
            </w:pPr>
            <w:r>
              <w:rPr>
                <w:color w:val="auto"/>
                <w:spacing w:val="-3"/>
                <w:sz w:val="21"/>
                <w:highlight w:val="none"/>
                <w:lang w:eastAsia="zh-CN"/>
              </w:rPr>
              <w:t>建筑可后退出人行步道、长廊或活动场地。</w:t>
            </w:r>
          </w:p>
        </w:tc>
        <w:tc>
          <w:tcPr>
            <w:tcW w:w="4279" w:type="dxa"/>
            <w:tcBorders>
              <w:left w:val="single" w:color="000000" w:sz="6" w:space="0"/>
            </w:tcBorders>
          </w:tcPr>
          <w:p w14:paraId="21BC9502">
            <w:pPr>
              <w:pStyle w:val="44"/>
              <w:numPr>
                <w:ilvl w:val="0"/>
                <w:numId w:val="16"/>
              </w:numPr>
              <w:tabs>
                <w:tab w:val="left" w:pos="185"/>
              </w:tabs>
              <w:spacing w:before="10" w:line="255" w:lineRule="exact"/>
              <w:ind w:right="-58"/>
              <w:jc w:val="left"/>
              <w:rPr>
                <w:rFonts w:hint="eastAsia"/>
                <w:color w:val="auto"/>
                <w:sz w:val="21"/>
                <w:highlight w:val="none"/>
                <w:lang w:eastAsia="zh-CN"/>
              </w:rPr>
            </w:pPr>
            <w:r>
              <w:rPr>
                <w:color w:val="auto"/>
                <w:spacing w:val="-4"/>
                <w:sz w:val="21"/>
                <w:highlight w:val="none"/>
                <w:lang w:eastAsia="zh-CN"/>
              </w:rPr>
              <w:t>建筑可后退出人行步道、长廊或活动场地；</w:t>
            </w:r>
          </w:p>
          <w:p w14:paraId="5AAD27CB">
            <w:pPr>
              <w:pStyle w:val="44"/>
              <w:numPr>
                <w:ilvl w:val="0"/>
                <w:numId w:val="16"/>
              </w:numPr>
              <w:tabs>
                <w:tab w:val="left" w:pos="185"/>
              </w:tabs>
              <w:spacing w:line="240" w:lineRule="exact"/>
              <w:jc w:val="left"/>
              <w:rPr>
                <w:rFonts w:hint="eastAsia"/>
                <w:color w:val="auto"/>
                <w:sz w:val="21"/>
                <w:highlight w:val="none"/>
                <w:lang w:eastAsia="zh-CN"/>
              </w:rPr>
            </w:pPr>
            <w:r>
              <w:rPr>
                <w:color w:val="auto"/>
                <w:spacing w:val="-3"/>
                <w:sz w:val="21"/>
                <w:highlight w:val="none"/>
                <w:lang w:eastAsia="zh-CN"/>
              </w:rPr>
              <w:t>建筑可后退较大距离，形成通车道路；</w:t>
            </w:r>
          </w:p>
          <w:p w14:paraId="3FDC8E2F">
            <w:pPr>
              <w:pStyle w:val="44"/>
              <w:numPr>
                <w:ilvl w:val="0"/>
                <w:numId w:val="16"/>
              </w:numPr>
              <w:tabs>
                <w:tab w:val="left" w:pos="185"/>
              </w:tabs>
              <w:spacing w:before="9" w:line="213" w:lineRule="auto"/>
              <w:ind w:left="25" w:right="15" w:firstLine="0"/>
              <w:jc w:val="left"/>
              <w:rPr>
                <w:rFonts w:hint="eastAsia"/>
                <w:color w:val="auto"/>
                <w:sz w:val="21"/>
                <w:highlight w:val="none"/>
                <w:lang w:eastAsia="zh-CN"/>
              </w:rPr>
            </w:pPr>
            <w:r>
              <w:rPr>
                <w:color w:val="auto"/>
                <w:spacing w:val="-11"/>
                <w:sz w:val="21"/>
                <w:highlight w:val="none"/>
                <w:lang w:eastAsia="zh-CN"/>
              </w:rPr>
              <w:t>堤围较高大的河段，建筑应与堤坝保持一定</w:t>
            </w:r>
            <w:r>
              <w:rPr>
                <w:color w:val="auto"/>
                <w:spacing w:val="-6"/>
                <w:sz w:val="21"/>
                <w:highlight w:val="none"/>
                <w:lang w:eastAsia="zh-CN"/>
              </w:rPr>
              <w:t>的距离，可密植树木遮挡建筑；</w:t>
            </w:r>
          </w:p>
          <w:p w14:paraId="0B476915">
            <w:pPr>
              <w:pStyle w:val="44"/>
              <w:numPr>
                <w:ilvl w:val="0"/>
                <w:numId w:val="16"/>
              </w:numPr>
              <w:tabs>
                <w:tab w:val="left" w:pos="185"/>
              </w:tabs>
              <w:spacing w:before="1" w:line="213" w:lineRule="auto"/>
              <w:ind w:left="25" w:right="16" w:firstLine="0"/>
              <w:jc w:val="left"/>
              <w:rPr>
                <w:rFonts w:hint="eastAsia"/>
                <w:color w:val="auto"/>
                <w:sz w:val="21"/>
                <w:highlight w:val="none"/>
                <w:lang w:eastAsia="zh-CN"/>
              </w:rPr>
            </w:pPr>
            <w:r>
              <w:rPr>
                <w:color w:val="auto"/>
                <w:spacing w:val="-8"/>
                <w:sz w:val="21"/>
                <w:highlight w:val="none"/>
                <w:lang w:eastAsia="zh-CN"/>
              </w:rPr>
              <w:t>建筑退让出较大距离</w:t>
            </w:r>
            <w:r>
              <w:rPr>
                <w:color w:val="auto"/>
                <w:sz w:val="21"/>
                <w:highlight w:val="none"/>
                <w:lang w:eastAsia="zh-CN"/>
              </w:rPr>
              <w:t>（</w:t>
            </w:r>
            <w:r>
              <w:rPr>
                <w:rFonts w:ascii="Times New Roman" w:eastAsia="Times New Roman"/>
                <w:color w:val="auto"/>
                <w:sz w:val="21"/>
                <w:highlight w:val="none"/>
                <w:lang w:eastAsia="zh-CN"/>
              </w:rPr>
              <w:t>50</w:t>
            </w:r>
            <w:r>
              <w:rPr>
                <w:rFonts w:ascii="Times New Roman" w:eastAsia="Times New Roman"/>
                <w:color w:val="auto"/>
                <w:spacing w:val="16"/>
                <w:sz w:val="21"/>
                <w:highlight w:val="none"/>
                <w:lang w:eastAsia="zh-CN"/>
              </w:rPr>
              <w:t xml:space="preserve"> </w:t>
            </w:r>
            <w:r>
              <w:rPr>
                <w:color w:val="auto"/>
                <w:spacing w:val="-3"/>
                <w:sz w:val="21"/>
                <w:highlight w:val="none"/>
                <w:lang w:eastAsia="zh-CN"/>
              </w:rPr>
              <w:t>米以上</w:t>
            </w:r>
            <w:r>
              <w:rPr>
                <w:color w:val="auto"/>
                <w:spacing w:val="-43"/>
                <w:sz w:val="21"/>
                <w:highlight w:val="none"/>
                <w:lang w:eastAsia="zh-CN"/>
              </w:rPr>
              <w:t>）</w:t>
            </w:r>
            <w:r>
              <w:rPr>
                <w:color w:val="auto"/>
                <w:spacing w:val="-12"/>
                <w:sz w:val="21"/>
                <w:highlight w:val="none"/>
                <w:lang w:eastAsia="zh-CN"/>
              </w:rPr>
              <w:t>，临水形</w:t>
            </w:r>
            <w:r>
              <w:rPr>
                <w:color w:val="auto"/>
                <w:spacing w:val="-6"/>
                <w:sz w:val="21"/>
                <w:highlight w:val="none"/>
                <w:lang w:eastAsia="zh-CN"/>
              </w:rPr>
              <w:t>成大片护岸林带或滨水公共绿地。</w:t>
            </w:r>
          </w:p>
        </w:tc>
      </w:tr>
      <w:tr w14:paraId="40B3B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333" w:type="dxa"/>
            <w:gridSpan w:val="2"/>
          </w:tcPr>
          <w:p w14:paraId="37D25EA0">
            <w:pPr>
              <w:pStyle w:val="44"/>
              <w:spacing w:before="130"/>
              <w:ind w:left="35"/>
              <w:jc w:val="left"/>
              <w:rPr>
                <w:rFonts w:hint="eastAsia"/>
                <w:color w:val="auto"/>
                <w:sz w:val="21"/>
                <w:highlight w:val="none"/>
              </w:rPr>
            </w:pPr>
            <w:r>
              <w:rPr>
                <w:color w:val="auto"/>
                <w:sz w:val="21"/>
                <w:highlight w:val="none"/>
              </w:rPr>
              <w:t>建筑高度控制</w:t>
            </w:r>
          </w:p>
        </w:tc>
        <w:tc>
          <w:tcPr>
            <w:tcW w:w="1895" w:type="dxa"/>
          </w:tcPr>
          <w:p w14:paraId="30DB93EB">
            <w:pPr>
              <w:pStyle w:val="44"/>
              <w:spacing w:before="10" w:line="255" w:lineRule="exact"/>
              <w:ind w:left="27" w:right="-44"/>
              <w:jc w:val="left"/>
              <w:rPr>
                <w:rFonts w:hint="eastAsia"/>
                <w:color w:val="auto"/>
                <w:sz w:val="21"/>
                <w:highlight w:val="none"/>
              </w:rPr>
            </w:pPr>
            <w:r>
              <w:rPr>
                <w:rFonts w:ascii="Times New Roman" w:hAnsi="Times New Roman" w:eastAsia="Times New Roman"/>
                <w:color w:val="auto"/>
                <w:sz w:val="21"/>
                <w:highlight w:val="none"/>
              </w:rPr>
              <w:t>H</w:t>
            </w:r>
            <w:r>
              <w:rPr>
                <w:color w:val="auto"/>
                <w:sz w:val="21"/>
                <w:highlight w:val="none"/>
              </w:rPr>
              <w:t>：</w:t>
            </w:r>
            <w:r>
              <w:rPr>
                <w:rFonts w:ascii="Times New Roman" w:hAnsi="Times New Roman" w:eastAsia="Times New Roman"/>
                <w:color w:val="auto"/>
                <w:sz w:val="21"/>
                <w:highlight w:val="none"/>
              </w:rPr>
              <w:t>L=2</w:t>
            </w:r>
            <w:r>
              <w:rPr>
                <w:color w:val="auto"/>
                <w:spacing w:val="-18"/>
                <w:sz w:val="21"/>
                <w:highlight w:val="none"/>
              </w:rPr>
              <w:t xml:space="preserve">，且 </w:t>
            </w:r>
            <w:r>
              <w:rPr>
                <w:rFonts w:ascii="Times New Roman" w:hAnsi="Times New Roman" w:eastAsia="Times New Roman"/>
                <w:color w:val="auto"/>
                <w:sz w:val="21"/>
                <w:highlight w:val="none"/>
              </w:rPr>
              <w:t>H</w:t>
            </w:r>
            <w:r>
              <w:rPr>
                <w:color w:val="auto"/>
                <w:sz w:val="21"/>
                <w:highlight w:val="none"/>
              </w:rPr>
              <w:t>≤</w:t>
            </w:r>
            <w:r>
              <w:rPr>
                <w:rFonts w:ascii="Times New Roman" w:hAnsi="Times New Roman" w:eastAsia="Times New Roman"/>
                <w:color w:val="auto"/>
                <w:sz w:val="21"/>
                <w:highlight w:val="none"/>
              </w:rPr>
              <w:t>12</w:t>
            </w:r>
            <w:r>
              <w:rPr>
                <w:rFonts w:ascii="Times New Roman" w:hAnsi="Times New Roman" w:eastAsia="Times New Roman"/>
                <w:color w:val="auto"/>
                <w:spacing w:val="1"/>
                <w:sz w:val="21"/>
                <w:highlight w:val="none"/>
              </w:rPr>
              <w:t xml:space="preserve"> </w:t>
            </w:r>
            <w:r>
              <w:rPr>
                <w:color w:val="auto"/>
                <w:spacing w:val="-3"/>
                <w:sz w:val="21"/>
                <w:highlight w:val="none"/>
              </w:rPr>
              <w:t>米，</w:t>
            </w:r>
            <w:r>
              <w:rPr>
                <w:rFonts w:ascii="Times New Roman" w:hAnsi="Times New Roman" w:eastAsia="Times New Roman"/>
                <w:color w:val="auto"/>
                <w:sz w:val="21"/>
                <w:highlight w:val="none"/>
              </w:rPr>
              <w:t>L</w:t>
            </w:r>
            <w:r>
              <w:rPr>
                <w:color w:val="auto"/>
                <w:sz w:val="21"/>
                <w:highlight w:val="none"/>
              </w:rPr>
              <w:t>≥</w:t>
            </w:r>
            <w:r>
              <w:rPr>
                <w:rFonts w:ascii="Times New Roman" w:hAnsi="Times New Roman" w:eastAsia="Times New Roman"/>
                <w:color w:val="auto"/>
                <w:sz w:val="21"/>
                <w:highlight w:val="none"/>
              </w:rPr>
              <w:t xml:space="preserve">6 </w:t>
            </w:r>
            <w:r>
              <w:rPr>
                <w:color w:val="auto"/>
                <w:sz w:val="21"/>
                <w:highlight w:val="none"/>
              </w:rPr>
              <w:t>米</w:t>
            </w:r>
          </w:p>
        </w:tc>
        <w:tc>
          <w:tcPr>
            <w:tcW w:w="2233" w:type="dxa"/>
            <w:tcBorders>
              <w:right w:val="single" w:color="000000" w:sz="6" w:space="0"/>
            </w:tcBorders>
          </w:tcPr>
          <w:p w14:paraId="72C663E7">
            <w:pPr>
              <w:pStyle w:val="44"/>
              <w:spacing w:before="10" w:line="255" w:lineRule="exact"/>
              <w:ind w:left="28"/>
              <w:jc w:val="left"/>
              <w:rPr>
                <w:rFonts w:ascii="Times New Roman" w:hAnsi="Times New Roman" w:eastAsia="Times New Roman"/>
                <w:color w:val="auto"/>
                <w:sz w:val="21"/>
                <w:highlight w:val="none"/>
              </w:rPr>
            </w:pPr>
            <w:r>
              <w:rPr>
                <w:rFonts w:ascii="Times New Roman" w:hAnsi="Times New Roman" w:eastAsia="Times New Roman"/>
                <w:color w:val="auto"/>
                <w:sz w:val="21"/>
                <w:highlight w:val="none"/>
              </w:rPr>
              <w:t>H</w:t>
            </w:r>
            <w:r>
              <w:rPr>
                <w:color w:val="auto"/>
                <w:sz w:val="21"/>
                <w:highlight w:val="none"/>
              </w:rPr>
              <w:t>：</w:t>
            </w:r>
            <w:r>
              <w:rPr>
                <w:rFonts w:ascii="Times New Roman" w:hAnsi="Times New Roman" w:eastAsia="Times New Roman"/>
                <w:color w:val="auto"/>
                <w:sz w:val="21"/>
                <w:highlight w:val="none"/>
              </w:rPr>
              <w:t>L=3-4</w:t>
            </w:r>
            <w:r>
              <w:rPr>
                <w:color w:val="auto"/>
                <w:sz w:val="21"/>
                <w:highlight w:val="none"/>
              </w:rPr>
              <w:t xml:space="preserve">，且 </w:t>
            </w:r>
            <w:r>
              <w:rPr>
                <w:rFonts w:ascii="Times New Roman" w:hAnsi="Times New Roman" w:eastAsia="Times New Roman"/>
                <w:color w:val="auto"/>
                <w:sz w:val="21"/>
                <w:highlight w:val="none"/>
              </w:rPr>
              <w:t>H</w:t>
            </w:r>
            <w:r>
              <w:rPr>
                <w:color w:val="auto"/>
                <w:sz w:val="21"/>
                <w:highlight w:val="none"/>
              </w:rPr>
              <w:t>≤</w:t>
            </w:r>
            <w:r>
              <w:rPr>
                <w:rFonts w:ascii="Times New Roman" w:hAnsi="Times New Roman" w:eastAsia="Times New Roman"/>
                <w:color w:val="auto"/>
                <w:sz w:val="21"/>
                <w:highlight w:val="none"/>
              </w:rPr>
              <w:t>24</w:t>
            </w:r>
          </w:p>
          <w:p w14:paraId="3FF38456">
            <w:pPr>
              <w:pStyle w:val="44"/>
              <w:spacing w:line="250" w:lineRule="exact"/>
              <w:ind w:left="28"/>
              <w:jc w:val="left"/>
              <w:rPr>
                <w:rFonts w:hint="eastAsia"/>
                <w:color w:val="auto"/>
                <w:sz w:val="21"/>
                <w:highlight w:val="none"/>
              </w:rPr>
            </w:pPr>
            <w:r>
              <w:rPr>
                <w:color w:val="auto"/>
                <w:sz w:val="21"/>
                <w:highlight w:val="none"/>
              </w:rPr>
              <w:t>米，</w:t>
            </w:r>
            <w:r>
              <w:rPr>
                <w:rFonts w:ascii="Times New Roman" w:hAnsi="Times New Roman" w:eastAsia="Times New Roman"/>
                <w:color w:val="auto"/>
                <w:sz w:val="21"/>
                <w:highlight w:val="none"/>
              </w:rPr>
              <w:t>L</w:t>
            </w:r>
            <w:r>
              <w:rPr>
                <w:color w:val="auto"/>
                <w:sz w:val="21"/>
                <w:highlight w:val="none"/>
              </w:rPr>
              <w:t>≥</w:t>
            </w:r>
            <w:r>
              <w:rPr>
                <w:rFonts w:ascii="Times New Roman" w:hAnsi="Times New Roman" w:eastAsia="Times New Roman"/>
                <w:color w:val="auto"/>
                <w:sz w:val="21"/>
                <w:highlight w:val="none"/>
              </w:rPr>
              <w:t xml:space="preserve">10 </w:t>
            </w:r>
            <w:r>
              <w:rPr>
                <w:color w:val="auto"/>
                <w:sz w:val="21"/>
                <w:highlight w:val="none"/>
              </w:rPr>
              <w:t>米</w:t>
            </w:r>
          </w:p>
        </w:tc>
        <w:tc>
          <w:tcPr>
            <w:tcW w:w="4279" w:type="dxa"/>
            <w:tcBorders>
              <w:left w:val="single" w:color="000000" w:sz="6" w:space="0"/>
            </w:tcBorders>
          </w:tcPr>
          <w:p w14:paraId="7C28B4F9">
            <w:pPr>
              <w:pStyle w:val="44"/>
              <w:spacing w:before="130"/>
              <w:ind w:left="25"/>
              <w:jc w:val="left"/>
              <w:rPr>
                <w:rFonts w:hint="eastAsia"/>
                <w:color w:val="auto"/>
                <w:sz w:val="21"/>
                <w:highlight w:val="none"/>
              </w:rPr>
            </w:pPr>
            <w:r>
              <w:rPr>
                <w:rFonts w:ascii="Times New Roman" w:hAnsi="Times New Roman" w:eastAsia="Times New Roman"/>
                <w:color w:val="auto"/>
                <w:sz w:val="21"/>
                <w:highlight w:val="none"/>
              </w:rPr>
              <w:t>H</w:t>
            </w:r>
            <w:r>
              <w:rPr>
                <w:color w:val="auto"/>
                <w:sz w:val="21"/>
                <w:highlight w:val="none"/>
              </w:rPr>
              <w:t>：</w:t>
            </w:r>
            <w:r>
              <w:rPr>
                <w:rFonts w:ascii="Times New Roman" w:hAnsi="Times New Roman" w:eastAsia="Times New Roman"/>
                <w:color w:val="auto"/>
                <w:sz w:val="21"/>
                <w:highlight w:val="none"/>
              </w:rPr>
              <w:t>L</w:t>
            </w:r>
            <w:r>
              <w:rPr>
                <w:color w:val="auto"/>
                <w:sz w:val="21"/>
                <w:highlight w:val="none"/>
              </w:rPr>
              <w:t>≤</w:t>
            </w:r>
            <w:r>
              <w:rPr>
                <w:rFonts w:ascii="Times New Roman" w:hAnsi="Times New Roman" w:eastAsia="Times New Roman"/>
                <w:color w:val="auto"/>
                <w:sz w:val="21"/>
                <w:highlight w:val="none"/>
              </w:rPr>
              <w:t>3</w:t>
            </w:r>
            <w:r>
              <w:rPr>
                <w:color w:val="auto"/>
                <w:sz w:val="21"/>
                <w:highlight w:val="none"/>
              </w:rPr>
              <w:t xml:space="preserve">，且 </w:t>
            </w:r>
            <w:r>
              <w:rPr>
                <w:rFonts w:ascii="Times New Roman" w:hAnsi="Times New Roman" w:eastAsia="Times New Roman"/>
                <w:color w:val="auto"/>
                <w:sz w:val="21"/>
                <w:highlight w:val="none"/>
              </w:rPr>
              <w:t>L</w:t>
            </w:r>
            <w:r>
              <w:rPr>
                <w:color w:val="auto"/>
                <w:sz w:val="21"/>
                <w:highlight w:val="none"/>
              </w:rPr>
              <w:t>≥</w:t>
            </w:r>
            <w:r>
              <w:rPr>
                <w:rFonts w:ascii="Times New Roman" w:hAnsi="Times New Roman" w:eastAsia="Times New Roman"/>
                <w:color w:val="auto"/>
                <w:sz w:val="21"/>
                <w:highlight w:val="none"/>
              </w:rPr>
              <w:t xml:space="preserve">11 </w:t>
            </w:r>
            <w:r>
              <w:rPr>
                <w:color w:val="auto"/>
                <w:sz w:val="21"/>
                <w:highlight w:val="none"/>
              </w:rPr>
              <w:t>米</w:t>
            </w:r>
          </w:p>
        </w:tc>
      </w:tr>
      <w:tr w14:paraId="617C0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trPr>
        <w:tc>
          <w:tcPr>
            <w:tcW w:w="555" w:type="dxa"/>
            <w:vMerge w:val="restart"/>
          </w:tcPr>
          <w:p w14:paraId="4A7C99D3">
            <w:pPr>
              <w:pStyle w:val="44"/>
              <w:jc w:val="left"/>
              <w:rPr>
                <w:rFonts w:hint="eastAsia" w:ascii="微软雅黑"/>
                <w:b/>
                <w:color w:val="auto"/>
                <w:sz w:val="20"/>
                <w:highlight w:val="none"/>
              </w:rPr>
            </w:pPr>
          </w:p>
          <w:p w14:paraId="2926234C">
            <w:pPr>
              <w:pStyle w:val="44"/>
              <w:jc w:val="left"/>
              <w:rPr>
                <w:rFonts w:hint="eastAsia" w:ascii="微软雅黑"/>
                <w:b/>
                <w:color w:val="auto"/>
                <w:sz w:val="20"/>
                <w:highlight w:val="none"/>
              </w:rPr>
            </w:pPr>
          </w:p>
          <w:p w14:paraId="3724E6D0">
            <w:pPr>
              <w:pStyle w:val="44"/>
              <w:jc w:val="left"/>
              <w:rPr>
                <w:rFonts w:hint="eastAsia" w:ascii="微软雅黑"/>
                <w:b/>
                <w:color w:val="auto"/>
                <w:sz w:val="20"/>
                <w:highlight w:val="none"/>
              </w:rPr>
            </w:pPr>
          </w:p>
          <w:p w14:paraId="1DB788FD">
            <w:pPr>
              <w:pStyle w:val="44"/>
              <w:spacing w:before="11"/>
              <w:jc w:val="left"/>
              <w:rPr>
                <w:rFonts w:hint="eastAsia" w:ascii="微软雅黑"/>
                <w:b/>
                <w:color w:val="auto"/>
                <w:sz w:val="23"/>
                <w:highlight w:val="none"/>
              </w:rPr>
            </w:pPr>
          </w:p>
          <w:p w14:paraId="250F1A11">
            <w:pPr>
              <w:pStyle w:val="44"/>
              <w:spacing w:line="213" w:lineRule="auto"/>
              <w:ind w:left="67" w:right="53"/>
              <w:jc w:val="left"/>
              <w:rPr>
                <w:rFonts w:hint="eastAsia"/>
                <w:color w:val="auto"/>
                <w:sz w:val="21"/>
                <w:highlight w:val="none"/>
              </w:rPr>
            </w:pPr>
            <w:r>
              <w:rPr>
                <w:color w:val="auto"/>
                <w:sz w:val="21"/>
                <w:highlight w:val="none"/>
              </w:rPr>
              <w:t>建筑设计</w:t>
            </w:r>
          </w:p>
        </w:tc>
        <w:tc>
          <w:tcPr>
            <w:tcW w:w="778" w:type="dxa"/>
          </w:tcPr>
          <w:p w14:paraId="4F67D4F1">
            <w:pPr>
              <w:pStyle w:val="44"/>
              <w:spacing w:before="16"/>
              <w:jc w:val="left"/>
              <w:rPr>
                <w:rFonts w:hint="eastAsia" w:ascii="微软雅黑"/>
                <w:b/>
                <w:color w:val="auto"/>
                <w:sz w:val="14"/>
                <w:highlight w:val="none"/>
              </w:rPr>
            </w:pPr>
          </w:p>
          <w:p w14:paraId="5D61086D">
            <w:pPr>
              <w:pStyle w:val="44"/>
              <w:spacing w:line="213" w:lineRule="auto"/>
              <w:ind w:left="280" w:right="60" w:hanging="209"/>
              <w:jc w:val="left"/>
              <w:rPr>
                <w:rFonts w:hint="eastAsia"/>
                <w:color w:val="auto"/>
                <w:sz w:val="21"/>
                <w:highlight w:val="none"/>
              </w:rPr>
            </w:pPr>
            <w:r>
              <w:rPr>
                <w:color w:val="auto"/>
                <w:sz w:val="21"/>
                <w:highlight w:val="none"/>
              </w:rPr>
              <w:t>建筑立面</w:t>
            </w:r>
          </w:p>
        </w:tc>
        <w:tc>
          <w:tcPr>
            <w:tcW w:w="8407" w:type="dxa"/>
            <w:gridSpan w:val="3"/>
          </w:tcPr>
          <w:p w14:paraId="6E8D267F">
            <w:pPr>
              <w:pStyle w:val="44"/>
              <w:numPr>
                <w:ilvl w:val="0"/>
                <w:numId w:val="17"/>
              </w:numPr>
              <w:tabs>
                <w:tab w:val="left" w:pos="188"/>
              </w:tabs>
              <w:spacing w:before="33" w:line="213" w:lineRule="auto"/>
              <w:ind w:left="27" w:right="13" w:firstLine="0"/>
              <w:jc w:val="left"/>
              <w:rPr>
                <w:rFonts w:hint="eastAsia"/>
                <w:color w:val="auto"/>
                <w:sz w:val="21"/>
                <w:highlight w:val="none"/>
                <w:lang w:eastAsia="zh-CN"/>
              </w:rPr>
            </w:pPr>
            <w:r>
              <w:rPr>
                <w:color w:val="auto"/>
                <w:spacing w:val="-3"/>
                <w:sz w:val="21"/>
                <w:highlight w:val="none"/>
                <w:lang w:eastAsia="zh-CN"/>
              </w:rPr>
              <w:t>紧邻河流的建筑，宜把主要立面面向河流，或对该立面进行重点设计，不宜设置空调外机等影响建筑立面的附着物，确需设置的必须结合立面造型隐蔽处理；</w:t>
            </w:r>
          </w:p>
          <w:p w14:paraId="380ABB5E">
            <w:pPr>
              <w:pStyle w:val="44"/>
              <w:numPr>
                <w:ilvl w:val="0"/>
                <w:numId w:val="17"/>
              </w:numPr>
              <w:tabs>
                <w:tab w:val="left" w:pos="188"/>
              </w:tabs>
              <w:spacing w:line="233" w:lineRule="exact"/>
              <w:ind w:left="187" w:hanging="161"/>
              <w:jc w:val="left"/>
              <w:rPr>
                <w:rFonts w:hint="eastAsia"/>
                <w:color w:val="auto"/>
                <w:sz w:val="21"/>
                <w:highlight w:val="none"/>
                <w:lang w:eastAsia="zh-CN"/>
              </w:rPr>
            </w:pPr>
            <w:r>
              <w:rPr>
                <w:color w:val="auto"/>
                <w:spacing w:val="-3"/>
                <w:sz w:val="21"/>
                <w:highlight w:val="none"/>
                <w:lang w:eastAsia="zh-CN"/>
              </w:rPr>
              <w:t>重点区域滨水建筑，形式应进行统一规划设计，使沿河立面协调统一；</w:t>
            </w:r>
          </w:p>
          <w:p w14:paraId="0EC2C7EA">
            <w:pPr>
              <w:pStyle w:val="44"/>
              <w:numPr>
                <w:ilvl w:val="0"/>
                <w:numId w:val="17"/>
              </w:numPr>
              <w:tabs>
                <w:tab w:val="left" w:pos="188"/>
              </w:tabs>
              <w:spacing w:line="252" w:lineRule="exact"/>
              <w:ind w:left="187" w:hanging="161"/>
              <w:jc w:val="left"/>
              <w:rPr>
                <w:rFonts w:hint="eastAsia"/>
                <w:color w:val="auto"/>
                <w:sz w:val="21"/>
                <w:highlight w:val="none"/>
                <w:lang w:eastAsia="zh-CN"/>
              </w:rPr>
            </w:pPr>
            <w:r>
              <w:rPr>
                <w:color w:val="auto"/>
                <w:spacing w:val="-3"/>
                <w:sz w:val="21"/>
                <w:highlight w:val="none"/>
                <w:lang w:eastAsia="zh-CN"/>
              </w:rPr>
              <w:t>控制沿河立面连续长度，减少河流空间的封闭感。</w:t>
            </w:r>
          </w:p>
        </w:tc>
      </w:tr>
      <w:tr w14:paraId="52822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555" w:type="dxa"/>
            <w:vMerge w:val="continue"/>
            <w:tcBorders>
              <w:top w:val="nil"/>
            </w:tcBorders>
          </w:tcPr>
          <w:p w14:paraId="6E820431">
            <w:pPr>
              <w:rPr>
                <w:rFonts w:hint="eastAsia"/>
                <w:color w:val="auto"/>
                <w:sz w:val="2"/>
                <w:szCs w:val="2"/>
                <w:highlight w:val="none"/>
                <w:lang w:eastAsia="zh-CN"/>
              </w:rPr>
            </w:pPr>
          </w:p>
        </w:tc>
        <w:tc>
          <w:tcPr>
            <w:tcW w:w="778" w:type="dxa"/>
          </w:tcPr>
          <w:p w14:paraId="0CE7C018">
            <w:pPr>
              <w:pStyle w:val="44"/>
              <w:spacing w:before="33" w:line="213" w:lineRule="auto"/>
              <w:ind w:left="280" w:right="60" w:hanging="209"/>
              <w:jc w:val="left"/>
              <w:rPr>
                <w:rFonts w:hint="eastAsia"/>
                <w:color w:val="auto"/>
                <w:sz w:val="21"/>
                <w:highlight w:val="none"/>
              </w:rPr>
            </w:pPr>
            <w:r>
              <w:rPr>
                <w:color w:val="auto"/>
                <w:sz w:val="21"/>
                <w:highlight w:val="none"/>
              </w:rPr>
              <w:t>建筑色彩</w:t>
            </w:r>
          </w:p>
        </w:tc>
        <w:tc>
          <w:tcPr>
            <w:tcW w:w="8407" w:type="dxa"/>
            <w:gridSpan w:val="3"/>
          </w:tcPr>
          <w:p w14:paraId="31C10899">
            <w:pPr>
              <w:pStyle w:val="44"/>
              <w:numPr>
                <w:ilvl w:val="0"/>
                <w:numId w:val="18"/>
              </w:numPr>
              <w:tabs>
                <w:tab w:val="left" w:pos="188"/>
              </w:tabs>
              <w:spacing w:before="10" w:line="255" w:lineRule="exact"/>
              <w:ind w:hanging="161"/>
              <w:jc w:val="left"/>
              <w:rPr>
                <w:rFonts w:hint="eastAsia"/>
                <w:color w:val="auto"/>
                <w:sz w:val="21"/>
                <w:highlight w:val="none"/>
              </w:rPr>
            </w:pPr>
            <w:r>
              <w:rPr>
                <w:color w:val="auto"/>
                <w:spacing w:val="-3"/>
                <w:sz w:val="21"/>
                <w:highlight w:val="none"/>
              </w:rPr>
              <w:t>应与周边环境相协调；</w:t>
            </w:r>
          </w:p>
          <w:p w14:paraId="5573B20B">
            <w:pPr>
              <w:pStyle w:val="44"/>
              <w:numPr>
                <w:ilvl w:val="0"/>
                <w:numId w:val="18"/>
              </w:numPr>
              <w:tabs>
                <w:tab w:val="left" w:pos="188"/>
              </w:tabs>
              <w:spacing w:line="250" w:lineRule="exact"/>
              <w:ind w:hanging="161"/>
              <w:jc w:val="left"/>
              <w:rPr>
                <w:rFonts w:hint="eastAsia"/>
                <w:color w:val="auto"/>
                <w:sz w:val="21"/>
                <w:highlight w:val="none"/>
                <w:lang w:eastAsia="zh-CN"/>
              </w:rPr>
            </w:pPr>
            <w:r>
              <w:rPr>
                <w:color w:val="auto"/>
                <w:spacing w:val="-3"/>
                <w:sz w:val="21"/>
                <w:highlight w:val="none"/>
                <w:lang w:eastAsia="zh-CN"/>
              </w:rPr>
              <w:t>宜体现地方文化特色。</w:t>
            </w:r>
          </w:p>
        </w:tc>
      </w:tr>
      <w:tr w14:paraId="6B0F7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555" w:type="dxa"/>
            <w:vMerge w:val="continue"/>
            <w:tcBorders>
              <w:top w:val="nil"/>
            </w:tcBorders>
          </w:tcPr>
          <w:p w14:paraId="67607ED8">
            <w:pPr>
              <w:rPr>
                <w:rFonts w:hint="eastAsia"/>
                <w:color w:val="auto"/>
                <w:sz w:val="2"/>
                <w:szCs w:val="2"/>
                <w:highlight w:val="none"/>
                <w:lang w:eastAsia="zh-CN"/>
              </w:rPr>
            </w:pPr>
          </w:p>
        </w:tc>
        <w:tc>
          <w:tcPr>
            <w:tcW w:w="778" w:type="dxa"/>
          </w:tcPr>
          <w:p w14:paraId="7BEEFFCE">
            <w:pPr>
              <w:pStyle w:val="44"/>
              <w:jc w:val="left"/>
              <w:rPr>
                <w:rFonts w:hint="eastAsia" w:ascii="微软雅黑"/>
                <w:b/>
                <w:color w:val="auto"/>
                <w:sz w:val="20"/>
                <w:highlight w:val="none"/>
                <w:lang w:eastAsia="zh-CN"/>
              </w:rPr>
            </w:pPr>
          </w:p>
          <w:p w14:paraId="1AD86BCA">
            <w:pPr>
              <w:pStyle w:val="44"/>
              <w:spacing w:before="16"/>
              <w:jc w:val="left"/>
              <w:rPr>
                <w:rFonts w:hint="eastAsia" w:ascii="微软雅黑"/>
                <w:b/>
                <w:color w:val="auto"/>
                <w:sz w:val="20"/>
                <w:highlight w:val="none"/>
                <w:lang w:eastAsia="zh-CN"/>
              </w:rPr>
            </w:pPr>
          </w:p>
          <w:p w14:paraId="7BABD1DC">
            <w:pPr>
              <w:pStyle w:val="44"/>
              <w:spacing w:line="213" w:lineRule="auto"/>
              <w:ind w:left="280" w:right="60" w:hanging="209"/>
              <w:jc w:val="left"/>
              <w:rPr>
                <w:rFonts w:hint="eastAsia"/>
                <w:color w:val="auto"/>
                <w:sz w:val="21"/>
                <w:highlight w:val="none"/>
              </w:rPr>
            </w:pPr>
            <w:r>
              <w:rPr>
                <w:color w:val="auto"/>
                <w:sz w:val="21"/>
                <w:highlight w:val="none"/>
              </w:rPr>
              <w:t>建筑功能</w:t>
            </w:r>
          </w:p>
        </w:tc>
        <w:tc>
          <w:tcPr>
            <w:tcW w:w="8407" w:type="dxa"/>
            <w:gridSpan w:val="3"/>
          </w:tcPr>
          <w:p w14:paraId="099EEEF2">
            <w:pPr>
              <w:pStyle w:val="44"/>
              <w:numPr>
                <w:ilvl w:val="0"/>
                <w:numId w:val="19"/>
              </w:numPr>
              <w:tabs>
                <w:tab w:val="left" w:pos="188"/>
              </w:tabs>
              <w:spacing w:before="33" w:line="213" w:lineRule="auto"/>
              <w:ind w:left="27" w:right="13" w:firstLine="0"/>
              <w:jc w:val="left"/>
              <w:rPr>
                <w:rFonts w:hint="eastAsia"/>
                <w:color w:val="auto"/>
                <w:sz w:val="21"/>
                <w:highlight w:val="none"/>
                <w:lang w:eastAsia="zh-CN"/>
              </w:rPr>
            </w:pPr>
            <w:r>
              <w:rPr>
                <w:color w:val="auto"/>
                <w:spacing w:val="-3"/>
                <w:sz w:val="21"/>
                <w:highlight w:val="none"/>
                <w:lang w:eastAsia="zh-CN"/>
              </w:rPr>
              <w:t>沿水建筑以满足公共服务、居住、商业、旅游、休憩、办公等功能为主，市郊可局部布置无污染工业建筑；</w:t>
            </w:r>
          </w:p>
          <w:p w14:paraId="31415D82">
            <w:pPr>
              <w:pStyle w:val="44"/>
              <w:numPr>
                <w:ilvl w:val="0"/>
                <w:numId w:val="19"/>
              </w:numPr>
              <w:tabs>
                <w:tab w:val="left" w:pos="188"/>
              </w:tabs>
              <w:spacing w:before="1" w:line="213" w:lineRule="auto"/>
              <w:ind w:left="27" w:right="13" w:firstLine="0"/>
              <w:jc w:val="left"/>
              <w:rPr>
                <w:rFonts w:hint="eastAsia"/>
                <w:color w:val="auto"/>
                <w:sz w:val="21"/>
                <w:highlight w:val="none"/>
                <w:lang w:eastAsia="zh-CN"/>
              </w:rPr>
            </w:pPr>
            <w:r>
              <w:rPr>
                <w:color w:val="auto"/>
                <w:spacing w:val="-3"/>
                <w:sz w:val="21"/>
                <w:highlight w:val="none"/>
                <w:lang w:eastAsia="zh-CN"/>
              </w:rPr>
              <w:t>不宜直接临水设置餐饮建筑，如需设置时必须有严格、完善的排污设施，并有防止向河中扔垃圾的措施；</w:t>
            </w:r>
          </w:p>
          <w:p w14:paraId="33AD026B">
            <w:pPr>
              <w:pStyle w:val="44"/>
              <w:numPr>
                <w:ilvl w:val="0"/>
                <w:numId w:val="19"/>
              </w:numPr>
              <w:tabs>
                <w:tab w:val="left" w:pos="188"/>
              </w:tabs>
              <w:spacing w:before="2" w:line="213" w:lineRule="auto"/>
              <w:ind w:left="27" w:right="13" w:firstLine="0"/>
              <w:jc w:val="left"/>
              <w:rPr>
                <w:rFonts w:hint="eastAsia"/>
                <w:color w:val="auto"/>
                <w:sz w:val="21"/>
                <w:highlight w:val="none"/>
                <w:lang w:eastAsia="zh-CN"/>
              </w:rPr>
            </w:pPr>
            <w:r>
              <w:rPr>
                <w:color w:val="auto"/>
                <w:spacing w:val="-3"/>
                <w:sz w:val="21"/>
                <w:highlight w:val="none"/>
                <w:lang w:eastAsia="zh-CN"/>
              </w:rPr>
              <w:t>沿水建筑可采用底层架空或部分架空（</w:t>
            </w:r>
            <w:r>
              <w:rPr>
                <w:color w:val="auto"/>
                <w:spacing w:val="-2"/>
                <w:sz w:val="21"/>
                <w:highlight w:val="none"/>
                <w:lang w:eastAsia="zh-CN"/>
              </w:rPr>
              <w:t>骑楼</w:t>
            </w:r>
            <w:r>
              <w:rPr>
                <w:color w:val="auto"/>
                <w:sz w:val="21"/>
                <w:highlight w:val="none"/>
                <w:lang w:eastAsia="zh-CN"/>
              </w:rPr>
              <w:t>）</w:t>
            </w:r>
            <w:r>
              <w:rPr>
                <w:color w:val="auto"/>
                <w:spacing w:val="-3"/>
                <w:sz w:val="21"/>
                <w:highlight w:val="none"/>
                <w:lang w:eastAsia="zh-CN"/>
              </w:rPr>
              <w:t>的做法，使建筑首层成为公共活动空间的组成部分，并为沿水步行道提供遮风、遮阳、挡雨的功能；</w:t>
            </w:r>
          </w:p>
          <w:p w14:paraId="0F429392">
            <w:pPr>
              <w:pStyle w:val="44"/>
              <w:numPr>
                <w:ilvl w:val="0"/>
                <w:numId w:val="19"/>
              </w:numPr>
              <w:tabs>
                <w:tab w:val="left" w:pos="188"/>
              </w:tabs>
              <w:spacing w:line="233" w:lineRule="exact"/>
              <w:ind w:left="187" w:hanging="161"/>
              <w:jc w:val="left"/>
              <w:rPr>
                <w:rFonts w:hint="eastAsia"/>
                <w:color w:val="auto"/>
                <w:sz w:val="21"/>
                <w:highlight w:val="none"/>
                <w:lang w:eastAsia="zh-CN"/>
              </w:rPr>
            </w:pPr>
            <w:r>
              <w:rPr>
                <w:color w:val="auto"/>
                <w:spacing w:val="-3"/>
                <w:sz w:val="21"/>
                <w:highlight w:val="none"/>
                <w:lang w:eastAsia="zh-CN"/>
              </w:rPr>
              <w:t>保存</w:t>
            </w:r>
            <w:r>
              <w:rPr>
                <w:rFonts w:hint="eastAsia"/>
                <w:color w:val="auto"/>
                <w:spacing w:val="-3"/>
                <w:sz w:val="21"/>
                <w:highlight w:val="none"/>
                <w:lang w:eastAsia="zh-CN"/>
              </w:rPr>
              <w:t>具有</w:t>
            </w:r>
            <w:r>
              <w:rPr>
                <w:color w:val="auto"/>
                <w:spacing w:val="-3"/>
                <w:sz w:val="21"/>
                <w:highlight w:val="none"/>
                <w:lang w:eastAsia="zh-CN"/>
              </w:rPr>
              <w:t>历史意义、建筑特色及文化价值的建筑物，使柳州的文化和历史得以流传；</w:t>
            </w:r>
          </w:p>
          <w:p w14:paraId="08241392">
            <w:pPr>
              <w:pStyle w:val="44"/>
              <w:numPr>
                <w:ilvl w:val="0"/>
                <w:numId w:val="19"/>
              </w:numPr>
              <w:tabs>
                <w:tab w:val="left" w:pos="188"/>
              </w:tabs>
              <w:spacing w:line="252" w:lineRule="exact"/>
              <w:ind w:left="187" w:hanging="161"/>
              <w:jc w:val="left"/>
              <w:rPr>
                <w:rFonts w:hint="eastAsia"/>
                <w:color w:val="auto"/>
                <w:sz w:val="21"/>
                <w:highlight w:val="none"/>
                <w:lang w:eastAsia="zh-CN"/>
              </w:rPr>
            </w:pPr>
            <w:r>
              <w:rPr>
                <w:color w:val="auto"/>
                <w:spacing w:val="-3"/>
                <w:sz w:val="21"/>
                <w:highlight w:val="none"/>
                <w:lang w:eastAsia="zh-CN"/>
              </w:rPr>
              <w:t>建议竖立别具特色的构筑物，既可帮助游人辨别方向，也可作为该地点的地标。</w:t>
            </w:r>
          </w:p>
        </w:tc>
      </w:tr>
    </w:tbl>
    <w:p w14:paraId="3BDCD66B">
      <w:pPr>
        <w:spacing w:before="56" w:line="340" w:lineRule="auto"/>
        <w:ind w:left="100" w:right="672"/>
        <w:rPr>
          <w:color w:val="auto"/>
          <w:sz w:val="21"/>
          <w:highlight w:val="none"/>
          <w:lang w:eastAsia="zh-CN"/>
        </w:rPr>
      </w:pPr>
      <w:r>
        <w:rPr>
          <w:color w:val="auto"/>
          <w:sz w:val="21"/>
          <w:highlight w:val="none"/>
          <w:lang w:eastAsia="zh-CN"/>
        </w:rPr>
        <w:t>注：表中</w:t>
      </w:r>
      <w:r>
        <w:rPr>
          <w:rFonts w:ascii="Times New Roman" w:eastAsia="Times New Roman"/>
          <w:color w:val="auto"/>
          <w:sz w:val="21"/>
          <w:highlight w:val="none"/>
          <w:lang w:eastAsia="zh-CN"/>
        </w:rPr>
        <w:t xml:space="preserve">H </w:t>
      </w:r>
      <w:r>
        <w:rPr>
          <w:color w:val="auto"/>
          <w:sz w:val="21"/>
          <w:highlight w:val="none"/>
          <w:lang w:eastAsia="zh-CN"/>
        </w:rPr>
        <w:t>为建筑临水面的高度；</w:t>
      </w:r>
      <w:r>
        <w:rPr>
          <w:rFonts w:ascii="Times New Roman" w:eastAsia="Times New Roman"/>
          <w:color w:val="auto"/>
          <w:sz w:val="21"/>
          <w:highlight w:val="none"/>
          <w:lang w:eastAsia="zh-CN"/>
        </w:rPr>
        <w:t xml:space="preserve">L </w:t>
      </w:r>
      <w:r>
        <w:rPr>
          <w:color w:val="auto"/>
          <w:sz w:val="21"/>
          <w:highlight w:val="none"/>
          <w:lang w:eastAsia="zh-CN"/>
        </w:rPr>
        <w:t>为建筑临水外墙面至堤岸顶外边缘的最小距离，如水利部门另有规定，以其规定为准。</w:t>
      </w:r>
    </w:p>
    <w:p w14:paraId="2FDE2298">
      <w:pPr>
        <w:spacing w:before="56" w:line="340" w:lineRule="auto"/>
        <w:ind w:left="100" w:right="672"/>
        <w:rPr>
          <w:color w:val="auto"/>
          <w:sz w:val="21"/>
          <w:highlight w:val="none"/>
          <w:lang w:eastAsia="zh-CN"/>
        </w:rPr>
      </w:pPr>
    </w:p>
    <w:p w14:paraId="5295CCA6">
      <w:pPr>
        <w:spacing w:before="56" w:line="340" w:lineRule="auto"/>
        <w:ind w:left="100" w:right="672"/>
        <w:rPr>
          <w:rFonts w:hint="eastAsia"/>
          <w:color w:val="auto"/>
          <w:sz w:val="21"/>
          <w:highlight w:val="none"/>
          <w:lang w:eastAsia="zh-CN"/>
        </w:rPr>
      </w:pPr>
    </w:p>
    <w:p w14:paraId="63DC9CC8">
      <w:pPr>
        <w:spacing w:before="56" w:line="340" w:lineRule="auto"/>
        <w:ind w:left="100" w:right="672"/>
        <w:rPr>
          <w:rFonts w:hint="eastAsia"/>
          <w:color w:val="auto"/>
          <w:sz w:val="21"/>
          <w:highlight w:val="none"/>
          <w:lang w:eastAsia="zh-CN"/>
        </w:rPr>
      </w:pPr>
    </w:p>
    <w:p w14:paraId="594D5F47">
      <w:pPr>
        <w:spacing w:before="56" w:line="340" w:lineRule="auto"/>
        <w:ind w:left="100" w:right="672"/>
        <w:rPr>
          <w:rFonts w:hint="eastAsia"/>
          <w:color w:val="auto"/>
          <w:sz w:val="21"/>
          <w:highlight w:val="none"/>
          <w:lang w:eastAsia="zh-CN"/>
        </w:rPr>
      </w:pPr>
    </w:p>
    <w:p w14:paraId="7A3E5016">
      <w:pPr>
        <w:spacing w:before="56" w:line="340" w:lineRule="auto"/>
        <w:ind w:left="100" w:right="672"/>
        <w:rPr>
          <w:rFonts w:hint="eastAsia"/>
          <w:color w:val="auto"/>
          <w:sz w:val="21"/>
          <w:highlight w:val="none"/>
          <w:lang w:eastAsia="zh-CN"/>
        </w:rPr>
      </w:pPr>
    </w:p>
    <w:p w14:paraId="7C2FCBBD">
      <w:pPr>
        <w:spacing w:before="56" w:line="340" w:lineRule="auto"/>
        <w:ind w:left="100" w:right="672"/>
        <w:rPr>
          <w:rFonts w:hint="eastAsia"/>
          <w:color w:val="auto"/>
          <w:sz w:val="21"/>
          <w:highlight w:val="none"/>
          <w:lang w:eastAsia="zh-CN"/>
        </w:rPr>
      </w:pPr>
    </w:p>
    <w:p w14:paraId="6467417C">
      <w:pPr>
        <w:spacing w:before="56" w:line="340" w:lineRule="auto"/>
        <w:ind w:left="100" w:right="672"/>
        <w:rPr>
          <w:rFonts w:hint="eastAsia"/>
          <w:color w:val="auto"/>
          <w:sz w:val="21"/>
          <w:highlight w:val="none"/>
          <w:lang w:eastAsia="zh-CN"/>
        </w:rPr>
      </w:pPr>
    </w:p>
    <w:p w14:paraId="3FB0F545">
      <w:pPr>
        <w:spacing w:before="56" w:line="340" w:lineRule="auto"/>
        <w:ind w:left="100" w:right="672"/>
        <w:rPr>
          <w:rFonts w:hint="eastAsia"/>
          <w:color w:val="auto"/>
          <w:sz w:val="21"/>
          <w:highlight w:val="none"/>
          <w:lang w:eastAsia="zh-CN"/>
        </w:rPr>
      </w:pPr>
    </w:p>
    <w:p w14:paraId="5BE76D3F">
      <w:pPr>
        <w:spacing w:before="56" w:line="340" w:lineRule="auto"/>
        <w:ind w:left="100" w:right="672"/>
        <w:rPr>
          <w:rFonts w:hint="eastAsia"/>
          <w:color w:val="auto"/>
          <w:sz w:val="21"/>
          <w:highlight w:val="none"/>
          <w:lang w:eastAsia="zh-CN"/>
        </w:rPr>
      </w:pPr>
    </w:p>
    <w:p w14:paraId="726C46ED">
      <w:pPr>
        <w:spacing w:before="56" w:line="340" w:lineRule="auto"/>
        <w:ind w:left="100" w:right="672"/>
        <w:rPr>
          <w:rFonts w:hint="eastAsia"/>
          <w:color w:val="auto"/>
          <w:sz w:val="21"/>
          <w:highlight w:val="none"/>
          <w:lang w:eastAsia="zh-CN"/>
        </w:rPr>
      </w:pPr>
    </w:p>
    <w:p w14:paraId="28526FAF">
      <w:pPr>
        <w:spacing w:before="56" w:line="340" w:lineRule="auto"/>
        <w:ind w:left="100" w:right="672"/>
        <w:rPr>
          <w:rFonts w:hint="eastAsia"/>
          <w:color w:val="auto"/>
          <w:sz w:val="21"/>
          <w:highlight w:val="none"/>
          <w:lang w:eastAsia="zh-CN"/>
        </w:rPr>
      </w:pPr>
    </w:p>
    <w:p w14:paraId="43C47793">
      <w:pPr>
        <w:spacing w:before="56" w:line="340" w:lineRule="auto"/>
        <w:ind w:left="100" w:right="672"/>
        <w:rPr>
          <w:rFonts w:hint="eastAsia"/>
          <w:color w:val="auto"/>
          <w:sz w:val="21"/>
          <w:highlight w:val="none"/>
          <w:lang w:eastAsia="zh-CN"/>
        </w:rPr>
      </w:pPr>
    </w:p>
    <w:p w14:paraId="14AA3895">
      <w:pPr>
        <w:spacing w:before="56" w:line="340" w:lineRule="auto"/>
        <w:ind w:left="100" w:right="672"/>
        <w:rPr>
          <w:rFonts w:hint="eastAsia"/>
          <w:color w:val="auto"/>
          <w:sz w:val="21"/>
          <w:highlight w:val="none"/>
          <w:lang w:eastAsia="zh-CN"/>
        </w:rPr>
      </w:pPr>
    </w:p>
    <w:p w14:paraId="2773566C">
      <w:pPr>
        <w:spacing w:before="56" w:line="340" w:lineRule="auto"/>
        <w:ind w:left="100" w:right="672"/>
        <w:rPr>
          <w:rFonts w:hint="eastAsia"/>
          <w:color w:val="auto"/>
          <w:sz w:val="21"/>
          <w:highlight w:val="none"/>
          <w:lang w:eastAsia="zh-CN"/>
        </w:rPr>
      </w:pPr>
    </w:p>
    <w:p w14:paraId="0CE3C4D3">
      <w:pPr>
        <w:spacing w:before="56" w:line="340" w:lineRule="auto"/>
        <w:ind w:left="100" w:right="672"/>
        <w:rPr>
          <w:rFonts w:hint="eastAsia"/>
          <w:color w:val="auto"/>
          <w:sz w:val="21"/>
          <w:highlight w:val="none"/>
          <w:lang w:eastAsia="zh-CN"/>
        </w:rPr>
      </w:pPr>
    </w:p>
    <w:p w14:paraId="0F8B0B8B">
      <w:pPr>
        <w:pStyle w:val="3"/>
        <w:keepNext w:val="0"/>
        <w:keepLines w:val="0"/>
        <w:spacing w:before="0" w:after="0" w:line="524" w:lineRule="exact"/>
        <w:jc w:val="center"/>
        <w:rPr>
          <w:rFonts w:hint="eastAsia" w:ascii="微软雅黑" w:hAnsi="微软雅黑" w:eastAsia="微软雅黑" w:cs="微软雅黑"/>
          <w:b/>
          <w:bCs/>
          <w:color w:val="auto"/>
          <w:sz w:val="32"/>
          <w:szCs w:val="32"/>
          <w:highlight w:val="none"/>
          <w:lang w:eastAsia="zh-CN"/>
        </w:rPr>
      </w:pPr>
      <w:bookmarkStart w:id="61" w:name="_Toc18449"/>
      <w:r>
        <w:rPr>
          <w:rFonts w:ascii="微软雅黑" w:hAnsi="微软雅黑" w:eastAsia="微软雅黑" w:cs="微软雅黑"/>
          <w:b/>
          <w:bCs/>
          <w:color w:val="auto"/>
          <w:sz w:val="32"/>
          <w:szCs w:val="32"/>
          <w:highlight w:val="none"/>
          <w:lang w:eastAsia="zh-CN"/>
        </w:rPr>
        <w:t>附图</w:t>
      </w:r>
      <w:bookmarkEnd w:id="61"/>
    </w:p>
    <w:p w14:paraId="723627C0">
      <w:pPr>
        <w:pStyle w:val="11"/>
        <w:spacing w:before="11"/>
        <w:ind w:left="0"/>
        <w:rPr>
          <w:rFonts w:hint="eastAsia" w:ascii="微软雅黑"/>
          <w:b/>
          <w:color w:val="auto"/>
          <w:sz w:val="20"/>
          <w:highlight w:val="none"/>
          <w:lang w:eastAsia="zh-CN"/>
        </w:rPr>
      </w:pPr>
    </w:p>
    <w:p w14:paraId="06E1F12D">
      <w:pPr>
        <w:pStyle w:val="5"/>
        <w:keepNext w:val="0"/>
        <w:keepLines w:val="0"/>
        <w:spacing w:before="0" w:after="0"/>
        <w:ind w:right="298"/>
        <w:jc w:val="center"/>
        <w:rPr>
          <w:rFonts w:hint="eastAsia" w:ascii="微软雅黑" w:hAnsi="微软雅黑" w:eastAsia="微软雅黑" w:cs="微软雅黑"/>
          <w:b/>
          <w:bCs/>
          <w:color w:val="auto"/>
          <w:sz w:val="30"/>
          <w:szCs w:val="30"/>
          <w:highlight w:val="none"/>
          <w:lang w:eastAsia="zh-CN"/>
        </w:rPr>
      </w:pPr>
      <w:bookmarkStart w:id="62" w:name="_bookmark44"/>
      <w:bookmarkEnd w:id="62"/>
      <w:r>
        <w:rPr>
          <w:rFonts w:ascii="微软雅黑" w:hAnsi="微软雅黑" w:eastAsia="微软雅黑" w:cs="微软雅黑"/>
          <w:b/>
          <w:bCs/>
          <w:color w:val="auto"/>
          <w:sz w:val="30"/>
          <w:szCs w:val="30"/>
          <w:highlight w:val="none"/>
          <w:lang w:eastAsia="zh-CN"/>
        </w:rPr>
        <w:t xml:space="preserve">附图一 </w:t>
      </w:r>
      <w:r>
        <w:rPr>
          <w:rFonts w:hint="eastAsia" w:ascii="微软雅黑" w:hAnsi="微软雅黑" w:eastAsia="微软雅黑" w:cs="微软雅黑"/>
          <w:b/>
          <w:bCs/>
          <w:color w:val="auto"/>
          <w:sz w:val="30"/>
          <w:szCs w:val="30"/>
          <w:highlight w:val="none"/>
          <w:lang w:eastAsia="zh-CN"/>
        </w:rPr>
        <w:t>柳南区</w:t>
      </w:r>
      <w:r>
        <w:rPr>
          <w:rFonts w:ascii="微软雅黑" w:hAnsi="微软雅黑" w:eastAsia="微软雅黑" w:cs="微软雅黑"/>
          <w:b/>
          <w:bCs/>
          <w:color w:val="auto"/>
          <w:sz w:val="30"/>
          <w:szCs w:val="30"/>
          <w:highlight w:val="none"/>
          <w:lang w:eastAsia="zh-CN"/>
        </w:rPr>
        <w:t>乡村地区重点地块图</w:t>
      </w:r>
      <w:r>
        <w:rPr>
          <w:rFonts w:hint="eastAsia" w:ascii="微软雅黑" w:hAnsi="微软雅黑" w:eastAsia="微软雅黑" w:cs="微软雅黑"/>
          <w:b/>
          <w:bCs/>
          <w:color w:val="auto"/>
          <w:sz w:val="30"/>
          <w:szCs w:val="30"/>
          <w:highlight w:val="none"/>
          <w:lang w:eastAsia="zh-CN"/>
        </w:rPr>
        <w:t>详图</w:t>
      </w:r>
      <w:bookmarkStart w:id="63" w:name="_bookmark45"/>
      <w:bookmarkEnd w:id="63"/>
    </w:p>
    <w:p w14:paraId="3F421EBB">
      <w:pPr>
        <w:pStyle w:val="5"/>
        <w:keepNext w:val="0"/>
        <w:keepLines w:val="0"/>
        <w:spacing w:before="0" w:after="0"/>
        <w:ind w:right="298"/>
        <w:jc w:val="center"/>
        <w:rPr>
          <w:rFonts w:ascii="微软雅黑" w:hAnsi="微软雅黑" w:eastAsia="微软雅黑" w:cs="微软雅黑"/>
          <w:b/>
          <w:bCs/>
          <w:color w:val="auto"/>
          <w:sz w:val="30"/>
          <w:szCs w:val="30"/>
          <w:highlight w:val="none"/>
          <w:lang w:eastAsia="zh-CN"/>
        </w:rPr>
      </w:pPr>
      <w:r>
        <w:rPr>
          <w:rFonts w:ascii="微软雅黑" w:hAnsi="微软雅黑" w:eastAsia="微软雅黑" w:cs="微软雅黑"/>
          <w:b/>
          <w:bCs/>
          <w:color w:val="auto"/>
          <w:sz w:val="30"/>
          <w:szCs w:val="30"/>
          <w:highlight w:val="none"/>
          <w:lang w:eastAsia="zh-CN"/>
        </w:rPr>
        <w:t>附图</w:t>
      </w:r>
      <w:r>
        <w:rPr>
          <w:rFonts w:hint="eastAsia" w:ascii="微软雅黑" w:hAnsi="微软雅黑" w:eastAsia="微软雅黑" w:cs="微软雅黑"/>
          <w:b/>
          <w:bCs/>
          <w:color w:val="auto"/>
          <w:sz w:val="30"/>
          <w:szCs w:val="30"/>
          <w:highlight w:val="none"/>
          <w:lang w:eastAsia="zh-CN"/>
        </w:rPr>
        <w:t>二</w:t>
      </w:r>
      <w:r>
        <w:rPr>
          <w:rFonts w:ascii="微软雅黑" w:hAnsi="微软雅黑" w:eastAsia="微软雅黑" w:cs="微软雅黑"/>
          <w:b/>
          <w:bCs/>
          <w:color w:val="auto"/>
          <w:sz w:val="30"/>
          <w:szCs w:val="30"/>
          <w:highlight w:val="none"/>
          <w:lang w:eastAsia="zh-CN"/>
        </w:rPr>
        <w:t xml:space="preserve"> </w:t>
      </w:r>
      <w:r>
        <w:rPr>
          <w:rFonts w:hint="eastAsia" w:ascii="微软雅黑" w:hAnsi="微软雅黑" w:eastAsia="微软雅黑" w:cs="微软雅黑"/>
          <w:b/>
          <w:bCs/>
          <w:color w:val="auto"/>
          <w:sz w:val="30"/>
          <w:szCs w:val="30"/>
          <w:highlight w:val="none"/>
          <w:lang w:eastAsia="zh-CN"/>
        </w:rPr>
        <w:t>柳南区</w:t>
      </w:r>
      <w:r>
        <w:rPr>
          <w:rFonts w:ascii="微软雅黑" w:hAnsi="微软雅黑" w:eastAsia="微软雅黑" w:cs="微软雅黑"/>
          <w:b/>
          <w:bCs/>
          <w:color w:val="auto"/>
          <w:sz w:val="30"/>
          <w:szCs w:val="30"/>
          <w:highlight w:val="none"/>
          <w:lang w:eastAsia="zh-CN"/>
        </w:rPr>
        <w:t>乡村地区</w:t>
      </w:r>
      <w:r>
        <w:rPr>
          <w:rFonts w:hint="eastAsia" w:ascii="微软雅黑" w:hAnsi="微软雅黑" w:eastAsia="微软雅黑" w:cs="微软雅黑"/>
          <w:b/>
          <w:bCs/>
          <w:color w:val="auto"/>
          <w:sz w:val="30"/>
          <w:szCs w:val="30"/>
          <w:highlight w:val="none"/>
          <w:lang w:eastAsia="zh-CN"/>
        </w:rPr>
        <w:t>村庄分类示意</w:t>
      </w:r>
      <w:r>
        <w:rPr>
          <w:rFonts w:ascii="微软雅黑" w:hAnsi="微软雅黑" w:eastAsia="微软雅黑" w:cs="微软雅黑"/>
          <w:b/>
          <w:bCs/>
          <w:color w:val="auto"/>
          <w:sz w:val="30"/>
          <w:szCs w:val="30"/>
          <w:highlight w:val="none"/>
          <w:lang w:eastAsia="zh-CN"/>
        </w:rPr>
        <w:t>图</w:t>
      </w:r>
    </w:p>
    <w:p w14:paraId="092C7297">
      <w:pPr>
        <w:spacing w:before="56" w:line="340" w:lineRule="auto"/>
        <w:ind w:left="100" w:right="672"/>
        <w:rPr>
          <w:rFonts w:hint="eastAsia"/>
          <w:color w:val="auto"/>
          <w:sz w:val="21"/>
          <w:highlight w:val="none"/>
          <w:lang w:eastAsia="zh-CN"/>
        </w:rPr>
        <w:sectPr>
          <w:pgSz w:w="11910" w:h="16840"/>
          <w:pgMar w:top="1418" w:right="851" w:bottom="1418" w:left="1134" w:header="0" w:footer="603" w:gutter="0"/>
          <w:pgNumType w:fmt="decimal"/>
          <w:cols w:space="720" w:num="1"/>
        </w:sectPr>
      </w:pPr>
    </w:p>
    <w:p w14:paraId="1A19E1A9">
      <w:pPr>
        <w:rPr>
          <w:rFonts w:ascii="微软雅黑" w:hAnsi="微软雅黑" w:eastAsia="微软雅黑" w:cs="微软雅黑"/>
          <w:b/>
          <w:bCs/>
          <w:color w:val="auto"/>
          <w:sz w:val="30"/>
          <w:szCs w:val="30"/>
          <w:highlight w:val="none"/>
          <w:lang w:eastAsia="zh-CN"/>
        </w:rPr>
      </w:pPr>
      <w:bookmarkStart w:id="64" w:name="_bookmark43"/>
      <w:bookmarkEnd w:id="64"/>
      <w:r>
        <w:rPr>
          <w:rFonts w:ascii="微软雅黑" w:hAnsi="微软雅黑" w:eastAsia="微软雅黑" w:cs="微软雅黑"/>
          <w:b/>
          <w:bCs/>
          <w:color w:val="auto"/>
          <w:sz w:val="30"/>
          <w:szCs w:val="30"/>
          <w:highlight w:val="none"/>
          <w:lang w:eastAsia="zh-CN"/>
        </w:rPr>
        <w:drawing>
          <wp:anchor distT="0" distB="0" distL="114300" distR="114300" simplePos="0" relativeHeight="251663360" behindDoc="0" locked="0" layoutInCell="1" allowOverlap="1">
            <wp:simplePos x="0" y="0"/>
            <wp:positionH relativeFrom="column">
              <wp:posOffset>128905</wp:posOffset>
            </wp:positionH>
            <wp:positionV relativeFrom="paragraph">
              <wp:posOffset>-745490</wp:posOffset>
            </wp:positionV>
            <wp:extent cx="14869160" cy="10518775"/>
            <wp:effectExtent l="0" t="0" r="8890" b="15875"/>
            <wp:wrapTopAndBottom/>
            <wp:docPr id="3" name="图片 3" descr="C:/Users/Administrator/Desktop/微信图片_20250924172137_265_155.jpg微信图片_20250924172137_265_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微信图片_20250924172137_265_155.jpg微信图片_20250924172137_265_155"/>
                    <pic:cNvPicPr>
                      <a:picLocks noChangeAspect="1"/>
                    </pic:cNvPicPr>
                  </pic:nvPicPr>
                  <pic:blipFill>
                    <a:blip r:embed="rId14"/>
                    <a:srcRect l="3" r="3"/>
                    <a:stretch>
                      <a:fillRect/>
                    </a:stretch>
                  </pic:blipFill>
                  <pic:spPr>
                    <a:xfrm>
                      <a:off x="0" y="0"/>
                      <a:ext cx="14869160" cy="10518775"/>
                    </a:xfrm>
                    <a:prstGeom prst="rect">
                      <a:avLst/>
                    </a:prstGeom>
                  </pic:spPr>
                </pic:pic>
              </a:graphicData>
            </a:graphic>
          </wp:anchor>
        </w:drawing>
      </w:r>
    </w:p>
    <w:p w14:paraId="3D4035BC">
      <w:pPr>
        <w:rPr>
          <w:rFonts w:hint="eastAsia" w:ascii="微软雅黑" w:hAnsi="微软雅黑" w:eastAsia="微软雅黑" w:cs="微软雅黑"/>
          <w:b/>
          <w:bCs/>
          <w:color w:val="auto"/>
          <w:sz w:val="30"/>
          <w:szCs w:val="30"/>
          <w:highlight w:val="none"/>
          <w:lang w:eastAsia="zh-CN"/>
        </w:rPr>
      </w:pPr>
      <w:r>
        <w:rPr>
          <w:rFonts w:ascii="微软雅黑" w:hAnsi="微软雅黑" w:eastAsia="微软雅黑" w:cs="微软雅黑"/>
          <w:b/>
          <w:bCs/>
          <w:color w:val="auto"/>
          <w:sz w:val="30"/>
          <w:szCs w:val="30"/>
          <w:highlight w:val="none"/>
          <w:lang w:eastAsia="zh-CN"/>
        </w:rPr>
        <w:drawing>
          <wp:anchor distT="0" distB="0" distL="114300" distR="114300" simplePos="0" relativeHeight="251664384" behindDoc="0" locked="0" layoutInCell="1" allowOverlap="1">
            <wp:simplePos x="0" y="0"/>
            <wp:positionH relativeFrom="column">
              <wp:posOffset>-5318760</wp:posOffset>
            </wp:positionH>
            <wp:positionV relativeFrom="paragraph">
              <wp:posOffset>627380</wp:posOffset>
            </wp:positionV>
            <wp:extent cx="15060930" cy="10649585"/>
            <wp:effectExtent l="0" t="0" r="7620" b="18415"/>
            <wp:wrapTopAndBottom/>
            <wp:docPr id="5" name="图片 5" descr="cc66878e03b3b59c107dc126307d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c66878e03b3b59c107dc126307d8703"/>
                    <pic:cNvPicPr>
                      <a:picLocks noChangeAspect="1"/>
                    </pic:cNvPicPr>
                  </pic:nvPicPr>
                  <pic:blipFill>
                    <a:blip r:embed="rId15"/>
                    <a:stretch>
                      <a:fillRect/>
                    </a:stretch>
                  </pic:blipFill>
                  <pic:spPr>
                    <a:xfrm>
                      <a:off x="0" y="0"/>
                      <a:ext cx="15060930" cy="10649585"/>
                    </a:xfrm>
                    <a:prstGeom prst="rect">
                      <a:avLst/>
                    </a:prstGeom>
                  </pic:spPr>
                </pic:pic>
              </a:graphicData>
            </a:graphic>
          </wp:anchor>
        </w:drawing>
      </w:r>
    </w:p>
    <w:sectPr>
      <w:pgSz w:w="23811" w:h="16838" w:orient="landscape"/>
      <w:pgMar w:top="0" w:right="0" w:bottom="0" w:left="0"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73993">
    <w:pPr>
      <w:pStyle w:val="13"/>
      <w:spacing w:after="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E674B">
    <w:pPr>
      <w:pStyle w:val="13"/>
      <w:spacing w:after="120"/>
      <w:ind w:firstLine="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FE117">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355DC">
    <w:pPr>
      <w:pStyle w:val="11"/>
      <w:spacing w:line="14" w:lineRule="auto"/>
      <w:ind w:left="0"/>
      <w:rPr>
        <w:rFonts w:hint="eastAsia"/>
        <w:sz w:val="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272B2">
    <w:pPr>
      <w:pStyle w:val="11"/>
      <w:spacing w:line="14" w:lineRule="auto"/>
      <w:ind w:left="0"/>
      <w:rPr>
        <w:rFonts w:hint="eastAsia"/>
        <w:sz w:val="12"/>
      </w:rPr>
    </w:pPr>
    <w:r>
      <w:rPr>
        <w:rFonts w:hint="eastAsia"/>
      </w:rPr>
      <mc:AlternateContent>
        <mc:Choice Requires="wps">
          <w:drawing>
            <wp:anchor distT="0" distB="0" distL="114300" distR="114300" simplePos="0" relativeHeight="251661312" behindDoc="1" locked="0" layoutInCell="1" allowOverlap="1">
              <wp:simplePos x="0" y="0"/>
              <wp:positionH relativeFrom="page">
                <wp:posOffset>3799840</wp:posOffset>
              </wp:positionH>
              <wp:positionV relativeFrom="page">
                <wp:posOffset>10080625</wp:posOffset>
              </wp:positionV>
              <wp:extent cx="192405" cy="19113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92405" cy="191135"/>
                      </a:xfrm>
                      <a:prstGeom prst="rect">
                        <a:avLst/>
                      </a:prstGeom>
                      <a:noFill/>
                      <a:ln>
                        <a:noFill/>
                      </a:ln>
                    </wps:spPr>
                    <wps:txbx>
                      <w:txbxContent>
                        <w:p w14:paraId="506EA1C3">
                          <w:pPr>
                            <w:spacing w:before="12"/>
                            <w:ind w:left="60"/>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 </w:instrText>
                          </w:r>
                          <w:r>
                            <w:rPr>
                              <w:rFonts w:hint="eastAsia" w:ascii="黑体" w:hAnsi="黑体" w:eastAsia="黑体" w:cs="黑体"/>
                              <w:sz w:val="24"/>
                              <w:szCs w:val="24"/>
                            </w:rPr>
                            <w:fldChar w:fldCharType="separate"/>
                          </w:r>
                          <w:r>
                            <w:rPr>
                              <w:rFonts w:hint="eastAsia" w:ascii="黑体" w:hAnsi="黑体" w:eastAsia="黑体" w:cs="黑体"/>
                              <w:sz w:val="24"/>
                              <w:szCs w:val="24"/>
                            </w:rPr>
                            <w:t>37</w:t>
                          </w:r>
                          <w:r>
                            <w:rPr>
                              <w:rFonts w:hint="eastAsia" w:ascii="黑体" w:hAnsi="黑体" w:eastAsia="黑体" w:cs="黑体"/>
                              <w:sz w:val="24"/>
                              <w:szCs w:val="24"/>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2pt;margin-top:793.75pt;height:15.05pt;width:15.15pt;mso-position-horizontal-relative:page;mso-position-vertical-relative:page;z-index:-251655168;mso-width-relative:page;mso-height-relative:page;" filled="f" stroked="f" coordsize="21600,21600" o:gfxdata="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R9gDdsAAAANAQAADwAAAAAAAAABACAA&#10;AAAiAAAAZHJzL2Rvd25yZXYueG1sUEsBAhQAFAAAAAgAh07iQDiHg/YKAgAABAQAAA4AAAAAAAAA&#10;AQAgAAAAKgEAAGRycy9lMm9Eb2MueG1sUEsFBgAAAAAGAAYAWQEAAKYFAAAAAA==&#10;">
              <v:fill on="f" focussize="0,0"/>
              <v:stroke on="f"/>
              <v:imagedata o:title=""/>
              <o:lock v:ext="edit" aspectratio="f"/>
              <v:textbox inset="0mm,0mm,0mm,0mm">
                <w:txbxContent>
                  <w:p w14:paraId="506EA1C3">
                    <w:pPr>
                      <w:spacing w:before="12"/>
                      <w:ind w:left="60"/>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 </w:instrText>
                    </w:r>
                    <w:r>
                      <w:rPr>
                        <w:rFonts w:hint="eastAsia" w:ascii="黑体" w:hAnsi="黑体" w:eastAsia="黑体" w:cs="黑体"/>
                        <w:sz w:val="24"/>
                        <w:szCs w:val="24"/>
                      </w:rPr>
                      <w:fldChar w:fldCharType="separate"/>
                    </w:r>
                    <w:r>
                      <w:rPr>
                        <w:rFonts w:hint="eastAsia" w:ascii="黑体" w:hAnsi="黑体" w:eastAsia="黑体" w:cs="黑体"/>
                        <w:sz w:val="24"/>
                        <w:szCs w:val="24"/>
                      </w:rPr>
                      <w:t>37</w:t>
                    </w:r>
                    <w:r>
                      <w:rPr>
                        <w:rFonts w:hint="eastAsia" w:ascii="黑体" w:hAnsi="黑体" w:eastAsia="黑体" w:cs="黑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7C7ED">
    <w:pPr>
      <w:pStyle w:val="11"/>
      <w:spacing w:line="14" w:lineRule="auto"/>
      <w:ind w:left="0"/>
      <w:rPr>
        <w:rFonts w:hint="eastAsia"/>
        <w:sz w:val="12"/>
      </w:rPr>
    </w:pPr>
    <w:r>
      <w:rPr>
        <w:rFonts w:hint="eastAsia"/>
      </w:rPr>
      <mc:AlternateContent>
        <mc:Choice Requires="wps">
          <w:drawing>
            <wp:anchor distT="0" distB="0" distL="114300" distR="114300" simplePos="0" relativeHeight="251662336" behindDoc="1" locked="0" layoutInCell="1" allowOverlap="1">
              <wp:simplePos x="0" y="0"/>
              <wp:positionH relativeFrom="page">
                <wp:posOffset>3799840</wp:posOffset>
              </wp:positionH>
              <wp:positionV relativeFrom="page">
                <wp:posOffset>10080625</wp:posOffset>
              </wp:positionV>
              <wp:extent cx="192405" cy="19113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92405" cy="191135"/>
                      </a:xfrm>
                      <a:prstGeom prst="rect">
                        <a:avLst/>
                      </a:prstGeom>
                      <a:noFill/>
                      <a:ln>
                        <a:noFill/>
                      </a:ln>
                    </wps:spPr>
                    <wps:txbx>
                      <w:txbxContent>
                        <w:p w14:paraId="2646293D">
                          <w:pPr>
                            <w:spacing w:before="12"/>
                            <w:ind w:left="6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w:instrText>
                          </w:r>
                          <w:r>
                            <w:rPr>
                              <w:rFonts w:hint="eastAsia" w:ascii="仿宋" w:hAnsi="仿宋" w:eastAsia="仿宋" w:cs="仿宋"/>
                              <w:sz w:val="24"/>
                              <w:szCs w:val="24"/>
                            </w:rPr>
                            <w:fldChar w:fldCharType="separate"/>
                          </w:r>
                          <w:r>
                            <w:rPr>
                              <w:rFonts w:hint="eastAsia" w:ascii="仿宋" w:hAnsi="仿宋" w:eastAsia="仿宋" w:cs="仿宋"/>
                              <w:sz w:val="24"/>
                              <w:szCs w:val="24"/>
                            </w:rPr>
                            <w:t>37</w:t>
                          </w:r>
                          <w:r>
                            <w:rPr>
                              <w:rFonts w:hint="eastAsia" w:ascii="仿宋" w:hAnsi="仿宋" w:eastAsia="仿宋" w:cs="仿宋"/>
                              <w:sz w:val="24"/>
                              <w:szCs w:val="24"/>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2pt;margin-top:793.75pt;height:15.05pt;width:15.15pt;mso-position-horizontal-relative:page;mso-position-vertical-relative:page;z-index:-251654144;mso-width-relative:page;mso-height-relative:page;" filled="f" stroked="f" coordsize="21600,21600" o:gfxdata="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R9gDdsAAAANAQAADwAAAAAAAAAB&#10;ACAAAAAiAAAAZHJzL2Rvd25yZXYueG1sUEsBAhQAFAAAAAgAh07iQA+uqAINAgAABAQAAA4AAAAA&#10;AAAAAQAgAAAAKgEAAGRycy9lMm9Eb2MueG1sUEsFBgAAAAAGAAYAWQEAAKkFAAAAAA==&#10;">
              <v:fill on="f" focussize="0,0"/>
              <v:stroke on="f"/>
              <v:imagedata o:title=""/>
              <o:lock v:ext="edit" aspectratio="f"/>
              <v:textbox inset="0mm,0mm,0mm,0mm">
                <w:txbxContent>
                  <w:p w14:paraId="2646293D">
                    <w:pPr>
                      <w:spacing w:before="12"/>
                      <w:ind w:left="6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w:instrText>
                    </w:r>
                    <w:r>
                      <w:rPr>
                        <w:rFonts w:hint="eastAsia" w:ascii="仿宋" w:hAnsi="仿宋" w:eastAsia="仿宋" w:cs="仿宋"/>
                        <w:sz w:val="24"/>
                        <w:szCs w:val="24"/>
                      </w:rPr>
                      <w:fldChar w:fldCharType="separate"/>
                    </w:r>
                    <w:r>
                      <w:rPr>
                        <w:rFonts w:hint="eastAsia" w:ascii="仿宋" w:hAnsi="仿宋" w:eastAsia="仿宋" w:cs="仿宋"/>
                        <w:sz w:val="24"/>
                        <w:szCs w:val="24"/>
                      </w:rPr>
                      <w:t>37</w:t>
                    </w:r>
                    <w:r>
                      <w:rPr>
                        <w:rFonts w:hint="eastAsia" w:ascii="仿宋" w:hAnsi="仿宋" w:eastAsia="仿宋" w:cs="仿宋"/>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029A2">
    <w:pPr>
      <w:pStyle w:val="14"/>
      <w:pBdr>
        <w:bottom w:val="none" w:color="auto" w:sz="0" w:space="0"/>
      </w:pBdr>
      <w:spacing w:after="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57EC">
    <w:pPr>
      <w:pStyle w:val="14"/>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37E54">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1B4C78"/>
    <w:multiLevelType w:val="multilevel"/>
    <w:tmpl w:val="071B4C78"/>
    <w:lvl w:ilvl="0" w:tentative="0">
      <w:start w:val="1"/>
      <w:numFmt w:val="decimal"/>
      <w:lvlText w:val="%1."/>
      <w:lvlJc w:val="left"/>
      <w:pPr>
        <w:ind w:left="184" w:hanging="160"/>
      </w:pPr>
      <w:rPr>
        <w:rFonts w:hint="default" w:ascii="Times New Roman" w:hAnsi="Times New Roman" w:eastAsia="Times New Roman" w:cs="Times New Roman"/>
        <w:w w:val="100"/>
        <w:sz w:val="19"/>
        <w:szCs w:val="19"/>
      </w:rPr>
    </w:lvl>
    <w:lvl w:ilvl="1" w:tentative="0">
      <w:start w:val="0"/>
      <w:numFmt w:val="bullet"/>
      <w:lvlText w:val="•"/>
      <w:lvlJc w:val="left"/>
      <w:pPr>
        <w:ind w:left="574" w:hanging="160"/>
      </w:pPr>
      <w:rPr>
        <w:rFonts w:hint="default"/>
      </w:rPr>
    </w:lvl>
    <w:lvl w:ilvl="2" w:tentative="0">
      <w:start w:val="0"/>
      <w:numFmt w:val="bullet"/>
      <w:lvlText w:val="•"/>
      <w:lvlJc w:val="left"/>
      <w:pPr>
        <w:ind w:left="968" w:hanging="160"/>
      </w:pPr>
      <w:rPr>
        <w:rFonts w:hint="default"/>
      </w:rPr>
    </w:lvl>
    <w:lvl w:ilvl="3" w:tentative="0">
      <w:start w:val="0"/>
      <w:numFmt w:val="bullet"/>
      <w:lvlText w:val="•"/>
      <w:lvlJc w:val="left"/>
      <w:pPr>
        <w:ind w:left="1362" w:hanging="160"/>
      </w:pPr>
      <w:rPr>
        <w:rFonts w:hint="default"/>
      </w:rPr>
    </w:lvl>
    <w:lvl w:ilvl="4" w:tentative="0">
      <w:start w:val="0"/>
      <w:numFmt w:val="bullet"/>
      <w:lvlText w:val="•"/>
      <w:lvlJc w:val="left"/>
      <w:pPr>
        <w:ind w:left="1756" w:hanging="160"/>
      </w:pPr>
      <w:rPr>
        <w:rFonts w:hint="default"/>
      </w:rPr>
    </w:lvl>
    <w:lvl w:ilvl="5" w:tentative="0">
      <w:start w:val="0"/>
      <w:numFmt w:val="bullet"/>
      <w:lvlText w:val="•"/>
      <w:lvlJc w:val="left"/>
      <w:pPr>
        <w:ind w:left="2150" w:hanging="160"/>
      </w:pPr>
      <w:rPr>
        <w:rFonts w:hint="default"/>
      </w:rPr>
    </w:lvl>
    <w:lvl w:ilvl="6" w:tentative="0">
      <w:start w:val="0"/>
      <w:numFmt w:val="bullet"/>
      <w:lvlText w:val="•"/>
      <w:lvlJc w:val="left"/>
      <w:pPr>
        <w:ind w:left="2544" w:hanging="160"/>
      </w:pPr>
      <w:rPr>
        <w:rFonts w:hint="default"/>
      </w:rPr>
    </w:lvl>
    <w:lvl w:ilvl="7" w:tentative="0">
      <w:start w:val="0"/>
      <w:numFmt w:val="bullet"/>
      <w:lvlText w:val="•"/>
      <w:lvlJc w:val="left"/>
      <w:pPr>
        <w:ind w:left="2939" w:hanging="160"/>
      </w:pPr>
      <w:rPr>
        <w:rFonts w:hint="default"/>
      </w:rPr>
    </w:lvl>
    <w:lvl w:ilvl="8" w:tentative="0">
      <w:start w:val="0"/>
      <w:numFmt w:val="bullet"/>
      <w:lvlText w:val="•"/>
      <w:lvlJc w:val="left"/>
      <w:pPr>
        <w:ind w:left="3333" w:hanging="160"/>
      </w:pPr>
      <w:rPr>
        <w:rFonts w:hint="default"/>
      </w:rPr>
    </w:lvl>
  </w:abstractNum>
  <w:abstractNum w:abstractNumId="1">
    <w:nsid w:val="14DA1E4D"/>
    <w:multiLevelType w:val="multilevel"/>
    <w:tmpl w:val="14DA1E4D"/>
    <w:lvl w:ilvl="0" w:tentative="0">
      <w:start w:val="1"/>
      <w:numFmt w:val="decimal"/>
      <w:lvlText w:val="%1."/>
      <w:lvlJc w:val="left"/>
      <w:pPr>
        <w:ind w:left="26" w:hanging="160"/>
      </w:pPr>
      <w:rPr>
        <w:rFonts w:hint="default" w:ascii="Times New Roman" w:hAnsi="Times New Roman" w:eastAsia="Times New Roman" w:cs="Times New Roman"/>
        <w:w w:val="100"/>
        <w:sz w:val="19"/>
        <w:szCs w:val="19"/>
      </w:rPr>
    </w:lvl>
    <w:lvl w:ilvl="1" w:tentative="0">
      <w:start w:val="0"/>
      <w:numFmt w:val="bullet"/>
      <w:lvlText w:val="•"/>
      <w:lvlJc w:val="left"/>
      <w:pPr>
        <w:ind w:left="400" w:hanging="160"/>
      </w:pPr>
      <w:rPr>
        <w:rFonts w:hint="default"/>
      </w:rPr>
    </w:lvl>
    <w:lvl w:ilvl="2" w:tentative="0">
      <w:start w:val="0"/>
      <w:numFmt w:val="bullet"/>
      <w:lvlText w:val="•"/>
      <w:lvlJc w:val="left"/>
      <w:pPr>
        <w:ind w:left="780" w:hanging="160"/>
      </w:pPr>
      <w:rPr>
        <w:rFonts w:hint="default"/>
      </w:rPr>
    </w:lvl>
    <w:lvl w:ilvl="3" w:tentative="0">
      <w:start w:val="0"/>
      <w:numFmt w:val="bullet"/>
      <w:lvlText w:val="•"/>
      <w:lvlJc w:val="left"/>
      <w:pPr>
        <w:ind w:left="1160" w:hanging="160"/>
      </w:pPr>
      <w:rPr>
        <w:rFonts w:hint="default"/>
      </w:rPr>
    </w:lvl>
    <w:lvl w:ilvl="4" w:tentative="0">
      <w:start w:val="0"/>
      <w:numFmt w:val="bullet"/>
      <w:lvlText w:val="•"/>
      <w:lvlJc w:val="left"/>
      <w:pPr>
        <w:ind w:left="1540" w:hanging="160"/>
      </w:pPr>
      <w:rPr>
        <w:rFonts w:hint="default"/>
      </w:rPr>
    </w:lvl>
    <w:lvl w:ilvl="5" w:tentative="0">
      <w:start w:val="0"/>
      <w:numFmt w:val="bullet"/>
      <w:lvlText w:val="•"/>
      <w:lvlJc w:val="left"/>
      <w:pPr>
        <w:ind w:left="1920" w:hanging="160"/>
      </w:pPr>
      <w:rPr>
        <w:rFonts w:hint="default"/>
      </w:rPr>
    </w:lvl>
    <w:lvl w:ilvl="6" w:tentative="0">
      <w:start w:val="0"/>
      <w:numFmt w:val="bullet"/>
      <w:lvlText w:val="•"/>
      <w:lvlJc w:val="left"/>
      <w:pPr>
        <w:ind w:left="2300" w:hanging="160"/>
      </w:pPr>
      <w:rPr>
        <w:rFonts w:hint="default"/>
      </w:rPr>
    </w:lvl>
    <w:lvl w:ilvl="7" w:tentative="0">
      <w:start w:val="0"/>
      <w:numFmt w:val="bullet"/>
      <w:lvlText w:val="•"/>
      <w:lvlJc w:val="left"/>
      <w:pPr>
        <w:ind w:left="2680" w:hanging="160"/>
      </w:pPr>
      <w:rPr>
        <w:rFonts w:hint="default"/>
      </w:rPr>
    </w:lvl>
    <w:lvl w:ilvl="8" w:tentative="0">
      <w:start w:val="0"/>
      <w:numFmt w:val="bullet"/>
      <w:lvlText w:val="•"/>
      <w:lvlJc w:val="left"/>
      <w:pPr>
        <w:ind w:left="3060" w:hanging="160"/>
      </w:pPr>
      <w:rPr>
        <w:rFonts w:hint="default"/>
      </w:rPr>
    </w:lvl>
  </w:abstractNum>
  <w:abstractNum w:abstractNumId="2">
    <w:nsid w:val="1B85042B"/>
    <w:multiLevelType w:val="multilevel"/>
    <w:tmpl w:val="1B85042B"/>
    <w:lvl w:ilvl="0" w:tentative="0">
      <w:start w:val="1"/>
      <w:numFmt w:val="decimal"/>
      <w:lvlText w:val="%1."/>
      <w:lvlJc w:val="left"/>
      <w:pPr>
        <w:ind w:left="1079" w:hanging="420"/>
      </w:pPr>
      <w:rPr>
        <w:rFonts w:hint="default" w:ascii="Times New Roman" w:hAnsi="Times New Roman" w:eastAsia="Times New Roman" w:cs="Times New Roman"/>
        <w:spacing w:val="0"/>
        <w:w w:val="100"/>
        <w:sz w:val="28"/>
        <w:szCs w:val="28"/>
      </w:rPr>
    </w:lvl>
    <w:lvl w:ilvl="1" w:tentative="0">
      <w:start w:val="0"/>
      <w:numFmt w:val="bullet"/>
      <w:lvlText w:val="•"/>
      <w:lvlJc w:val="left"/>
      <w:pPr>
        <w:ind w:left="1996" w:hanging="420"/>
      </w:pPr>
      <w:rPr>
        <w:rFonts w:hint="default"/>
      </w:rPr>
    </w:lvl>
    <w:lvl w:ilvl="2" w:tentative="0">
      <w:start w:val="0"/>
      <w:numFmt w:val="bullet"/>
      <w:lvlText w:val="•"/>
      <w:lvlJc w:val="left"/>
      <w:pPr>
        <w:ind w:left="2913" w:hanging="420"/>
      </w:pPr>
      <w:rPr>
        <w:rFonts w:hint="default"/>
      </w:rPr>
    </w:lvl>
    <w:lvl w:ilvl="3" w:tentative="0">
      <w:start w:val="0"/>
      <w:numFmt w:val="bullet"/>
      <w:lvlText w:val="•"/>
      <w:lvlJc w:val="left"/>
      <w:pPr>
        <w:ind w:left="3829" w:hanging="420"/>
      </w:pPr>
      <w:rPr>
        <w:rFonts w:hint="default"/>
      </w:rPr>
    </w:lvl>
    <w:lvl w:ilvl="4" w:tentative="0">
      <w:start w:val="0"/>
      <w:numFmt w:val="bullet"/>
      <w:lvlText w:val="•"/>
      <w:lvlJc w:val="left"/>
      <w:pPr>
        <w:ind w:left="4746" w:hanging="420"/>
      </w:pPr>
      <w:rPr>
        <w:rFonts w:hint="default"/>
      </w:rPr>
    </w:lvl>
    <w:lvl w:ilvl="5" w:tentative="0">
      <w:start w:val="0"/>
      <w:numFmt w:val="bullet"/>
      <w:lvlText w:val="•"/>
      <w:lvlJc w:val="left"/>
      <w:pPr>
        <w:ind w:left="5663" w:hanging="420"/>
      </w:pPr>
      <w:rPr>
        <w:rFonts w:hint="default"/>
      </w:rPr>
    </w:lvl>
    <w:lvl w:ilvl="6" w:tentative="0">
      <w:start w:val="0"/>
      <w:numFmt w:val="bullet"/>
      <w:lvlText w:val="•"/>
      <w:lvlJc w:val="left"/>
      <w:pPr>
        <w:ind w:left="6579" w:hanging="420"/>
      </w:pPr>
      <w:rPr>
        <w:rFonts w:hint="default"/>
      </w:rPr>
    </w:lvl>
    <w:lvl w:ilvl="7" w:tentative="0">
      <w:start w:val="0"/>
      <w:numFmt w:val="bullet"/>
      <w:lvlText w:val="•"/>
      <w:lvlJc w:val="left"/>
      <w:pPr>
        <w:ind w:left="7496" w:hanging="420"/>
      </w:pPr>
      <w:rPr>
        <w:rFonts w:hint="default"/>
      </w:rPr>
    </w:lvl>
    <w:lvl w:ilvl="8" w:tentative="0">
      <w:start w:val="0"/>
      <w:numFmt w:val="bullet"/>
      <w:lvlText w:val="•"/>
      <w:lvlJc w:val="left"/>
      <w:pPr>
        <w:ind w:left="8413" w:hanging="420"/>
      </w:pPr>
      <w:rPr>
        <w:rFonts w:hint="default"/>
      </w:rPr>
    </w:lvl>
  </w:abstractNum>
  <w:abstractNum w:abstractNumId="3">
    <w:nsid w:val="25C12049"/>
    <w:multiLevelType w:val="multilevel"/>
    <w:tmpl w:val="25C12049"/>
    <w:lvl w:ilvl="0" w:tentative="0">
      <w:start w:val="1"/>
      <w:numFmt w:val="decimal"/>
      <w:lvlText w:val="%1."/>
      <w:lvlJc w:val="left"/>
      <w:pPr>
        <w:ind w:left="26" w:hanging="160"/>
      </w:pPr>
      <w:rPr>
        <w:rFonts w:hint="default" w:ascii="Times New Roman" w:hAnsi="Times New Roman" w:eastAsia="Times New Roman" w:cs="Times New Roman"/>
        <w:w w:val="100"/>
        <w:sz w:val="19"/>
        <w:szCs w:val="19"/>
      </w:rPr>
    </w:lvl>
    <w:lvl w:ilvl="1" w:tentative="0">
      <w:start w:val="0"/>
      <w:numFmt w:val="bullet"/>
      <w:lvlText w:val="•"/>
      <w:lvlJc w:val="left"/>
      <w:pPr>
        <w:ind w:left="400" w:hanging="160"/>
      </w:pPr>
      <w:rPr>
        <w:rFonts w:hint="default"/>
      </w:rPr>
    </w:lvl>
    <w:lvl w:ilvl="2" w:tentative="0">
      <w:start w:val="0"/>
      <w:numFmt w:val="bullet"/>
      <w:lvlText w:val="•"/>
      <w:lvlJc w:val="left"/>
      <w:pPr>
        <w:ind w:left="780" w:hanging="160"/>
      </w:pPr>
      <w:rPr>
        <w:rFonts w:hint="default"/>
      </w:rPr>
    </w:lvl>
    <w:lvl w:ilvl="3" w:tentative="0">
      <w:start w:val="0"/>
      <w:numFmt w:val="bullet"/>
      <w:lvlText w:val="•"/>
      <w:lvlJc w:val="left"/>
      <w:pPr>
        <w:ind w:left="1160" w:hanging="160"/>
      </w:pPr>
      <w:rPr>
        <w:rFonts w:hint="default"/>
      </w:rPr>
    </w:lvl>
    <w:lvl w:ilvl="4" w:tentative="0">
      <w:start w:val="0"/>
      <w:numFmt w:val="bullet"/>
      <w:lvlText w:val="•"/>
      <w:lvlJc w:val="left"/>
      <w:pPr>
        <w:ind w:left="1540" w:hanging="160"/>
      </w:pPr>
      <w:rPr>
        <w:rFonts w:hint="default"/>
      </w:rPr>
    </w:lvl>
    <w:lvl w:ilvl="5" w:tentative="0">
      <w:start w:val="0"/>
      <w:numFmt w:val="bullet"/>
      <w:lvlText w:val="•"/>
      <w:lvlJc w:val="left"/>
      <w:pPr>
        <w:ind w:left="1920" w:hanging="160"/>
      </w:pPr>
      <w:rPr>
        <w:rFonts w:hint="default"/>
      </w:rPr>
    </w:lvl>
    <w:lvl w:ilvl="6" w:tentative="0">
      <w:start w:val="0"/>
      <w:numFmt w:val="bullet"/>
      <w:lvlText w:val="•"/>
      <w:lvlJc w:val="left"/>
      <w:pPr>
        <w:ind w:left="2300" w:hanging="160"/>
      </w:pPr>
      <w:rPr>
        <w:rFonts w:hint="default"/>
      </w:rPr>
    </w:lvl>
    <w:lvl w:ilvl="7" w:tentative="0">
      <w:start w:val="0"/>
      <w:numFmt w:val="bullet"/>
      <w:lvlText w:val="•"/>
      <w:lvlJc w:val="left"/>
      <w:pPr>
        <w:ind w:left="2680" w:hanging="160"/>
      </w:pPr>
      <w:rPr>
        <w:rFonts w:hint="default"/>
      </w:rPr>
    </w:lvl>
    <w:lvl w:ilvl="8" w:tentative="0">
      <w:start w:val="0"/>
      <w:numFmt w:val="bullet"/>
      <w:lvlText w:val="•"/>
      <w:lvlJc w:val="left"/>
      <w:pPr>
        <w:ind w:left="3060" w:hanging="160"/>
      </w:pPr>
      <w:rPr>
        <w:rFonts w:hint="default"/>
      </w:rPr>
    </w:lvl>
  </w:abstractNum>
  <w:abstractNum w:abstractNumId="4">
    <w:nsid w:val="3141351B"/>
    <w:multiLevelType w:val="multilevel"/>
    <w:tmpl w:val="3141351B"/>
    <w:lvl w:ilvl="0" w:tentative="0">
      <w:start w:val="1"/>
      <w:numFmt w:val="decimal"/>
      <w:lvlText w:val="%1."/>
      <w:lvlJc w:val="left"/>
      <w:pPr>
        <w:ind w:left="26" w:hanging="160"/>
      </w:pPr>
      <w:rPr>
        <w:rFonts w:hint="default" w:ascii="Times New Roman" w:hAnsi="Times New Roman" w:eastAsia="Times New Roman" w:cs="Times New Roman"/>
        <w:w w:val="100"/>
        <w:sz w:val="19"/>
        <w:szCs w:val="19"/>
      </w:rPr>
    </w:lvl>
    <w:lvl w:ilvl="1" w:tentative="0">
      <w:start w:val="0"/>
      <w:numFmt w:val="bullet"/>
      <w:lvlText w:val="•"/>
      <w:lvlJc w:val="left"/>
      <w:pPr>
        <w:ind w:left="400" w:hanging="160"/>
      </w:pPr>
      <w:rPr>
        <w:rFonts w:hint="default"/>
      </w:rPr>
    </w:lvl>
    <w:lvl w:ilvl="2" w:tentative="0">
      <w:start w:val="0"/>
      <w:numFmt w:val="bullet"/>
      <w:lvlText w:val="•"/>
      <w:lvlJc w:val="left"/>
      <w:pPr>
        <w:ind w:left="780" w:hanging="160"/>
      </w:pPr>
      <w:rPr>
        <w:rFonts w:hint="default"/>
      </w:rPr>
    </w:lvl>
    <w:lvl w:ilvl="3" w:tentative="0">
      <w:start w:val="0"/>
      <w:numFmt w:val="bullet"/>
      <w:lvlText w:val="•"/>
      <w:lvlJc w:val="left"/>
      <w:pPr>
        <w:ind w:left="1160" w:hanging="160"/>
      </w:pPr>
      <w:rPr>
        <w:rFonts w:hint="default"/>
      </w:rPr>
    </w:lvl>
    <w:lvl w:ilvl="4" w:tentative="0">
      <w:start w:val="0"/>
      <w:numFmt w:val="bullet"/>
      <w:lvlText w:val="•"/>
      <w:lvlJc w:val="left"/>
      <w:pPr>
        <w:ind w:left="1540" w:hanging="160"/>
      </w:pPr>
      <w:rPr>
        <w:rFonts w:hint="default"/>
      </w:rPr>
    </w:lvl>
    <w:lvl w:ilvl="5" w:tentative="0">
      <w:start w:val="0"/>
      <w:numFmt w:val="bullet"/>
      <w:lvlText w:val="•"/>
      <w:lvlJc w:val="left"/>
      <w:pPr>
        <w:ind w:left="1920" w:hanging="160"/>
      </w:pPr>
      <w:rPr>
        <w:rFonts w:hint="default"/>
      </w:rPr>
    </w:lvl>
    <w:lvl w:ilvl="6" w:tentative="0">
      <w:start w:val="0"/>
      <w:numFmt w:val="bullet"/>
      <w:lvlText w:val="•"/>
      <w:lvlJc w:val="left"/>
      <w:pPr>
        <w:ind w:left="2300" w:hanging="160"/>
      </w:pPr>
      <w:rPr>
        <w:rFonts w:hint="default"/>
      </w:rPr>
    </w:lvl>
    <w:lvl w:ilvl="7" w:tentative="0">
      <w:start w:val="0"/>
      <w:numFmt w:val="bullet"/>
      <w:lvlText w:val="•"/>
      <w:lvlJc w:val="left"/>
      <w:pPr>
        <w:ind w:left="2680" w:hanging="160"/>
      </w:pPr>
      <w:rPr>
        <w:rFonts w:hint="default"/>
      </w:rPr>
    </w:lvl>
    <w:lvl w:ilvl="8" w:tentative="0">
      <w:start w:val="0"/>
      <w:numFmt w:val="bullet"/>
      <w:lvlText w:val="•"/>
      <w:lvlJc w:val="left"/>
      <w:pPr>
        <w:ind w:left="3060" w:hanging="160"/>
      </w:pPr>
      <w:rPr>
        <w:rFonts w:hint="default"/>
      </w:rPr>
    </w:lvl>
  </w:abstractNum>
  <w:abstractNum w:abstractNumId="5">
    <w:nsid w:val="32A648CE"/>
    <w:multiLevelType w:val="multilevel"/>
    <w:tmpl w:val="32A648CE"/>
    <w:lvl w:ilvl="0" w:tentative="0">
      <w:start w:val="1"/>
      <w:numFmt w:val="decimal"/>
      <w:lvlText w:val="%1."/>
      <w:lvlJc w:val="left"/>
      <w:pPr>
        <w:ind w:left="26" w:hanging="160"/>
      </w:pPr>
      <w:rPr>
        <w:rFonts w:hint="default" w:ascii="Times New Roman" w:hAnsi="Times New Roman" w:eastAsia="Times New Roman" w:cs="Times New Roman"/>
        <w:w w:val="100"/>
        <w:sz w:val="19"/>
        <w:szCs w:val="19"/>
      </w:rPr>
    </w:lvl>
    <w:lvl w:ilvl="1" w:tentative="0">
      <w:start w:val="0"/>
      <w:numFmt w:val="bullet"/>
      <w:lvlText w:val="•"/>
      <w:lvlJc w:val="left"/>
      <w:pPr>
        <w:ind w:left="400" w:hanging="160"/>
      </w:pPr>
      <w:rPr>
        <w:rFonts w:hint="default"/>
      </w:rPr>
    </w:lvl>
    <w:lvl w:ilvl="2" w:tentative="0">
      <w:start w:val="0"/>
      <w:numFmt w:val="bullet"/>
      <w:lvlText w:val="•"/>
      <w:lvlJc w:val="left"/>
      <w:pPr>
        <w:ind w:left="780" w:hanging="160"/>
      </w:pPr>
      <w:rPr>
        <w:rFonts w:hint="default"/>
      </w:rPr>
    </w:lvl>
    <w:lvl w:ilvl="3" w:tentative="0">
      <w:start w:val="0"/>
      <w:numFmt w:val="bullet"/>
      <w:lvlText w:val="•"/>
      <w:lvlJc w:val="left"/>
      <w:pPr>
        <w:ind w:left="1160" w:hanging="160"/>
      </w:pPr>
      <w:rPr>
        <w:rFonts w:hint="default"/>
      </w:rPr>
    </w:lvl>
    <w:lvl w:ilvl="4" w:tentative="0">
      <w:start w:val="0"/>
      <w:numFmt w:val="bullet"/>
      <w:lvlText w:val="•"/>
      <w:lvlJc w:val="left"/>
      <w:pPr>
        <w:ind w:left="1540" w:hanging="160"/>
      </w:pPr>
      <w:rPr>
        <w:rFonts w:hint="default"/>
      </w:rPr>
    </w:lvl>
    <w:lvl w:ilvl="5" w:tentative="0">
      <w:start w:val="0"/>
      <w:numFmt w:val="bullet"/>
      <w:lvlText w:val="•"/>
      <w:lvlJc w:val="left"/>
      <w:pPr>
        <w:ind w:left="1920" w:hanging="160"/>
      </w:pPr>
      <w:rPr>
        <w:rFonts w:hint="default"/>
      </w:rPr>
    </w:lvl>
    <w:lvl w:ilvl="6" w:tentative="0">
      <w:start w:val="0"/>
      <w:numFmt w:val="bullet"/>
      <w:lvlText w:val="•"/>
      <w:lvlJc w:val="left"/>
      <w:pPr>
        <w:ind w:left="2300" w:hanging="160"/>
      </w:pPr>
      <w:rPr>
        <w:rFonts w:hint="default"/>
      </w:rPr>
    </w:lvl>
    <w:lvl w:ilvl="7" w:tentative="0">
      <w:start w:val="0"/>
      <w:numFmt w:val="bullet"/>
      <w:lvlText w:val="•"/>
      <w:lvlJc w:val="left"/>
      <w:pPr>
        <w:ind w:left="2680" w:hanging="160"/>
      </w:pPr>
      <w:rPr>
        <w:rFonts w:hint="default"/>
      </w:rPr>
    </w:lvl>
    <w:lvl w:ilvl="8" w:tentative="0">
      <w:start w:val="0"/>
      <w:numFmt w:val="bullet"/>
      <w:lvlText w:val="•"/>
      <w:lvlJc w:val="left"/>
      <w:pPr>
        <w:ind w:left="3060" w:hanging="160"/>
      </w:pPr>
      <w:rPr>
        <w:rFonts w:hint="default"/>
      </w:rPr>
    </w:lvl>
  </w:abstractNum>
  <w:abstractNum w:abstractNumId="6">
    <w:nsid w:val="33BA2865"/>
    <w:multiLevelType w:val="multilevel"/>
    <w:tmpl w:val="33BA2865"/>
    <w:lvl w:ilvl="0" w:tentative="0">
      <w:start w:val="1"/>
      <w:numFmt w:val="decimal"/>
      <w:lvlText w:val="%1."/>
      <w:lvlJc w:val="left"/>
      <w:pPr>
        <w:ind w:left="26" w:hanging="160"/>
      </w:pPr>
      <w:rPr>
        <w:rFonts w:hint="default" w:ascii="Times New Roman" w:hAnsi="Times New Roman" w:eastAsia="Times New Roman" w:cs="Times New Roman"/>
        <w:w w:val="100"/>
        <w:sz w:val="19"/>
        <w:szCs w:val="19"/>
      </w:rPr>
    </w:lvl>
    <w:lvl w:ilvl="1" w:tentative="0">
      <w:start w:val="0"/>
      <w:numFmt w:val="bullet"/>
      <w:lvlText w:val="•"/>
      <w:lvlJc w:val="left"/>
      <w:pPr>
        <w:ind w:left="400" w:hanging="160"/>
      </w:pPr>
      <w:rPr>
        <w:rFonts w:hint="default"/>
      </w:rPr>
    </w:lvl>
    <w:lvl w:ilvl="2" w:tentative="0">
      <w:start w:val="0"/>
      <w:numFmt w:val="bullet"/>
      <w:lvlText w:val="•"/>
      <w:lvlJc w:val="left"/>
      <w:pPr>
        <w:ind w:left="780" w:hanging="160"/>
      </w:pPr>
      <w:rPr>
        <w:rFonts w:hint="default"/>
      </w:rPr>
    </w:lvl>
    <w:lvl w:ilvl="3" w:tentative="0">
      <w:start w:val="0"/>
      <w:numFmt w:val="bullet"/>
      <w:lvlText w:val="•"/>
      <w:lvlJc w:val="left"/>
      <w:pPr>
        <w:ind w:left="1160" w:hanging="160"/>
      </w:pPr>
      <w:rPr>
        <w:rFonts w:hint="default"/>
      </w:rPr>
    </w:lvl>
    <w:lvl w:ilvl="4" w:tentative="0">
      <w:start w:val="0"/>
      <w:numFmt w:val="bullet"/>
      <w:lvlText w:val="•"/>
      <w:lvlJc w:val="left"/>
      <w:pPr>
        <w:ind w:left="1540" w:hanging="160"/>
      </w:pPr>
      <w:rPr>
        <w:rFonts w:hint="default"/>
      </w:rPr>
    </w:lvl>
    <w:lvl w:ilvl="5" w:tentative="0">
      <w:start w:val="0"/>
      <w:numFmt w:val="bullet"/>
      <w:lvlText w:val="•"/>
      <w:lvlJc w:val="left"/>
      <w:pPr>
        <w:ind w:left="1920" w:hanging="160"/>
      </w:pPr>
      <w:rPr>
        <w:rFonts w:hint="default"/>
      </w:rPr>
    </w:lvl>
    <w:lvl w:ilvl="6" w:tentative="0">
      <w:start w:val="0"/>
      <w:numFmt w:val="bullet"/>
      <w:lvlText w:val="•"/>
      <w:lvlJc w:val="left"/>
      <w:pPr>
        <w:ind w:left="2300" w:hanging="160"/>
      </w:pPr>
      <w:rPr>
        <w:rFonts w:hint="default"/>
      </w:rPr>
    </w:lvl>
    <w:lvl w:ilvl="7" w:tentative="0">
      <w:start w:val="0"/>
      <w:numFmt w:val="bullet"/>
      <w:lvlText w:val="•"/>
      <w:lvlJc w:val="left"/>
      <w:pPr>
        <w:ind w:left="2680" w:hanging="160"/>
      </w:pPr>
      <w:rPr>
        <w:rFonts w:hint="default"/>
      </w:rPr>
    </w:lvl>
    <w:lvl w:ilvl="8" w:tentative="0">
      <w:start w:val="0"/>
      <w:numFmt w:val="bullet"/>
      <w:lvlText w:val="•"/>
      <w:lvlJc w:val="left"/>
      <w:pPr>
        <w:ind w:left="3060" w:hanging="160"/>
      </w:pPr>
      <w:rPr>
        <w:rFonts w:hint="default"/>
      </w:rPr>
    </w:lvl>
  </w:abstractNum>
  <w:abstractNum w:abstractNumId="7">
    <w:nsid w:val="36A9316E"/>
    <w:multiLevelType w:val="multilevel"/>
    <w:tmpl w:val="36A9316E"/>
    <w:lvl w:ilvl="0" w:tentative="0">
      <w:start w:val="0"/>
      <w:numFmt w:val="decimal"/>
      <w:lvlText w:val="%1"/>
      <w:lvlJc w:val="left"/>
      <w:pPr>
        <w:ind w:left="365" w:hanging="265"/>
      </w:pPr>
      <w:rPr>
        <w:rFonts w:hint="default"/>
      </w:rPr>
    </w:lvl>
    <w:lvl w:ilvl="1" w:tentative="0">
      <w:start w:val="3"/>
      <w:numFmt w:val="decimal"/>
      <w:lvlText w:val="%1.%2"/>
      <w:lvlJc w:val="left"/>
      <w:pPr>
        <w:ind w:left="365" w:hanging="265"/>
      </w:pPr>
      <w:rPr>
        <w:rFonts w:hint="default" w:ascii="Times New Roman" w:hAnsi="Times New Roman" w:eastAsia="Times New Roman" w:cs="Times New Roman"/>
        <w:w w:val="100"/>
        <w:sz w:val="19"/>
        <w:szCs w:val="19"/>
      </w:rPr>
    </w:lvl>
    <w:lvl w:ilvl="2" w:tentative="0">
      <w:start w:val="1"/>
      <w:numFmt w:val="decimal"/>
      <w:lvlText w:val="（%3）"/>
      <w:lvlJc w:val="left"/>
      <w:pPr>
        <w:ind w:left="100" w:hanging="702"/>
      </w:pPr>
      <w:rPr>
        <w:rFonts w:hint="default" w:ascii="仿宋" w:hAnsi="仿宋" w:eastAsia="仿宋" w:cs="仿宋"/>
        <w:spacing w:val="-32"/>
        <w:w w:val="100"/>
        <w:sz w:val="26"/>
        <w:szCs w:val="26"/>
      </w:rPr>
    </w:lvl>
    <w:lvl w:ilvl="3" w:tentative="0">
      <w:start w:val="0"/>
      <w:numFmt w:val="bullet"/>
      <w:lvlText w:val="•"/>
      <w:lvlJc w:val="left"/>
      <w:pPr>
        <w:ind w:left="2556" w:hanging="702"/>
      </w:pPr>
      <w:rPr>
        <w:rFonts w:hint="default"/>
      </w:rPr>
    </w:lvl>
    <w:lvl w:ilvl="4" w:tentative="0">
      <w:start w:val="0"/>
      <w:numFmt w:val="bullet"/>
      <w:lvlText w:val="•"/>
      <w:lvlJc w:val="left"/>
      <w:pPr>
        <w:ind w:left="3655" w:hanging="702"/>
      </w:pPr>
      <w:rPr>
        <w:rFonts w:hint="default"/>
      </w:rPr>
    </w:lvl>
    <w:lvl w:ilvl="5" w:tentative="0">
      <w:start w:val="0"/>
      <w:numFmt w:val="bullet"/>
      <w:lvlText w:val="•"/>
      <w:lvlJc w:val="left"/>
      <w:pPr>
        <w:ind w:left="4753" w:hanging="702"/>
      </w:pPr>
      <w:rPr>
        <w:rFonts w:hint="default"/>
      </w:rPr>
    </w:lvl>
    <w:lvl w:ilvl="6" w:tentative="0">
      <w:start w:val="0"/>
      <w:numFmt w:val="bullet"/>
      <w:lvlText w:val="•"/>
      <w:lvlJc w:val="left"/>
      <w:pPr>
        <w:ind w:left="5852" w:hanging="702"/>
      </w:pPr>
      <w:rPr>
        <w:rFonts w:hint="default"/>
      </w:rPr>
    </w:lvl>
    <w:lvl w:ilvl="7" w:tentative="0">
      <w:start w:val="0"/>
      <w:numFmt w:val="bullet"/>
      <w:lvlText w:val="•"/>
      <w:lvlJc w:val="left"/>
      <w:pPr>
        <w:ind w:left="6950" w:hanging="702"/>
      </w:pPr>
      <w:rPr>
        <w:rFonts w:hint="default"/>
      </w:rPr>
    </w:lvl>
    <w:lvl w:ilvl="8" w:tentative="0">
      <w:start w:val="0"/>
      <w:numFmt w:val="bullet"/>
      <w:lvlText w:val="•"/>
      <w:lvlJc w:val="left"/>
      <w:pPr>
        <w:ind w:left="8049" w:hanging="702"/>
      </w:pPr>
      <w:rPr>
        <w:rFonts w:hint="default"/>
      </w:rPr>
    </w:lvl>
  </w:abstractNum>
  <w:abstractNum w:abstractNumId="8">
    <w:nsid w:val="38F60006"/>
    <w:multiLevelType w:val="multilevel"/>
    <w:tmpl w:val="38F60006"/>
    <w:lvl w:ilvl="0" w:tentative="0">
      <w:start w:val="1"/>
      <w:numFmt w:val="decimal"/>
      <w:lvlText w:val="%1."/>
      <w:lvlJc w:val="left"/>
      <w:pPr>
        <w:ind w:left="187" w:hanging="160"/>
      </w:pPr>
      <w:rPr>
        <w:rFonts w:hint="default" w:ascii="Times New Roman" w:hAnsi="Times New Roman" w:eastAsia="Times New Roman" w:cs="Times New Roman"/>
        <w:w w:val="100"/>
        <w:sz w:val="19"/>
        <w:szCs w:val="19"/>
      </w:rPr>
    </w:lvl>
    <w:lvl w:ilvl="1" w:tentative="0">
      <w:start w:val="0"/>
      <w:numFmt w:val="bullet"/>
      <w:lvlText w:val="•"/>
      <w:lvlJc w:val="left"/>
      <w:pPr>
        <w:ind w:left="588" w:hanging="160"/>
      </w:pPr>
      <w:rPr>
        <w:rFonts w:hint="default"/>
      </w:rPr>
    </w:lvl>
    <w:lvl w:ilvl="2" w:tentative="0">
      <w:start w:val="0"/>
      <w:numFmt w:val="bullet"/>
      <w:lvlText w:val="•"/>
      <w:lvlJc w:val="left"/>
      <w:pPr>
        <w:ind w:left="996" w:hanging="160"/>
      </w:pPr>
      <w:rPr>
        <w:rFonts w:hint="default"/>
      </w:rPr>
    </w:lvl>
    <w:lvl w:ilvl="3" w:tentative="0">
      <w:start w:val="0"/>
      <w:numFmt w:val="bullet"/>
      <w:lvlText w:val="•"/>
      <w:lvlJc w:val="left"/>
      <w:pPr>
        <w:ind w:left="1404" w:hanging="160"/>
      </w:pPr>
      <w:rPr>
        <w:rFonts w:hint="default"/>
      </w:rPr>
    </w:lvl>
    <w:lvl w:ilvl="4" w:tentative="0">
      <w:start w:val="0"/>
      <w:numFmt w:val="bullet"/>
      <w:lvlText w:val="•"/>
      <w:lvlJc w:val="left"/>
      <w:pPr>
        <w:ind w:left="1812" w:hanging="160"/>
      </w:pPr>
      <w:rPr>
        <w:rFonts w:hint="default"/>
      </w:rPr>
    </w:lvl>
    <w:lvl w:ilvl="5" w:tentative="0">
      <w:start w:val="0"/>
      <w:numFmt w:val="bullet"/>
      <w:lvlText w:val="•"/>
      <w:lvlJc w:val="left"/>
      <w:pPr>
        <w:ind w:left="2220" w:hanging="160"/>
      </w:pPr>
      <w:rPr>
        <w:rFonts w:hint="default"/>
      </w:rPr>
    </w:lvl>
    <w:lvl w:ilvl="6" w:tentative="0">
      <w:start w:val="0"/>
      <w:numFmt w:val="bullet"/>
      <w:lvlText w:val="•"/>
      <w:lvlJc w:val="left"/>
      <w:pPr>
        <w:ind w:left="2628" w:hanging="160"/>
      </w:pPr>
      <w:rPr>
        <w:rFonts w:hint="default"/>
      </w:rPr>
    </w:lvl>
    <w:lvl w:ilvl="7" w:tentative="0">
      <w:start w:val="0"/>
      <w:numFmt w:val="bullet"/>
      <w:lvlText w:val="•"/>
      <w:lvlJc w:val="left"/>
      <w:pPr>
        <w:ind w:left="3036" w:hanging="160"/>
      </w:pPr>
      <w:rPr>
        <w:rFonts w:hint="default"/>
      </w:rPr>
    </w:lvl>
    <w:lvl w:ilvl="8" w:tentative="0">
      <w:start w:val="0"/>
      <w:numFmt w:val="bullet"/>
      <w:lvlText w:val="•"/>
      <w:lvlJc w:val="left"/>
      <w:pPr>
        <w:ind w:left="3444" w:hanging="160"/>
      </w:pPr>
      <w:rPr>
        <w:rFonts w:hint="default"/>
      </w:rPr>
    </w:lvl>
  </w:abstractNum>
  <w:abstractNum w:abstractNumId="9">
    <w:nsid w:val="3C9E320E"/>
    <w:multiLevelType w:val="singleLevel"/>
    <w:tmpl w:val="3C9E320E"/>
    <w:lvl w:ilvl="0" w:tentative="0">
      <w:start w:val="2"/>
      <w:numFmt w:val="decimal"/>
      <w:suff w:val="nothing"/>
      <w:lvlText w:val="%1、"/>
      <w:lvlJc w:val="left"/>
    </w:lvl>
  </w:abstractNum>
  <w:abstractNum w:abstractNumId="10">
    <w:nsid w:val="400832F5"/>
    <w:multiLevelType w:val="multilevel"/>
    <w:tmpl w:val="400832F5"/>
    <w:lvl w:ilvl="0" w:tentative="0">
      <w:start w:val="1"/>
      <w:numFmt w:val="decimal"/>
      <w:lvlText w:val="%1."/>
      <w:lvlJc w:val="left"/>
      <w:pPr>
        <w:ind w:left="28" w:hanging="160"/>
      </w:pPr>
      <w:rPr>
        <w:rFonts w:hint="default" w:ascii="Times New Roman" w:hAnsi="Times New Roman" w:eastAsia="Times New Roman" w:cs="Times New Roman"/>
        <w:w w:val="100"/>
        <w:sz w:val="19"/>
        <w:szCs w:val="19"/>
      </w:rPr>
    </w:lvl>
    <w:lvl w:ilvl="1" w:tentative="0">
      <w:start w:val="0"/>
      <w:numFmt w:val="bullet"/>
      <w:lvlText w:val="•"/>
      <w:lvlJc w:val="left"/>
      <w:pPr>
        <w:ind w:left="857" w:hanging="160"/>
      </w:pPr>
      <w:rPr>
        <w:rFonts w:hint="default"/>
      </w:rPr>
    </w:lvl>
    <w:lvl w:ilvl="2" w:tentative="0">
      <w:start w:val="0"/>
      <w:numFmt w:val="bullet"/>
      <w:lvlText w:val="•"/>
      <w:lvlJc w:val="left"/>
      <w:pPr>
        <w:ind w:left="1695" w:hanging="160"/>
      </w:pPr>
      <w:rPr>
        <w:rFonts w:hint="default"/>
      </w:rPr>
    </w:lvl>
    <w:lvl w:ilvl="3" w:tentative="0">
      <w:start w:val="0"/>
      <w:numFmt w:val="bullet"/>
      <w:lvlText w:val="•"/>
      <w:lvlJc w:val="left"/>
      <w:pPr>
        <w:ind w:left="2533" w:hanging="160"/>
      </w:pPr>
      <w:rPr>
        <w:rFonts w:hint="default"/>
      </w:rPr>
    </w:lvl>
    <w:lvl w:ilvl="4" w:tentative="0">
      <w:start w:val="0"/>
      <w:numFmt w:val="bullet"/>
      <w:lvlText w:val="•"/>
      <w:lvlJc w:val="left"/>
      <w:pPr>
        <w:ind w:left="3370" w:hanging="160"/>
      </w:pPr>
      <w:rPr>
        <w:rFonts w:hint="default"/>
      </w:rPr>
    </w:lvl>
    <w:lvl w:ilvl="5" w:tentative="0">
      <w:start w:val="0"/>
      <w:numFmt w:val="bullet"/>
      <w:lvlText w:val="•"/>
      <w:lvlJc w:val="left"/>
      <w:pPr>
        <w:ind w:left="4208" w:hanging="160"/>
      </w:pPr>
      <w:rPr>
        <w:rFonts w:hint="default"/>
      </w:rPr>
    </w:lvl>
    <w:lvl w:ilvl="6" w:tentative="0">
      <w:start w:val="0"/>
      <w:numFmt w:val="bullet"/>
      <w:lvlText w:val="•"/>
      <w:lvlJc w:val="left"/>
      <w:pPr>
        <w:ind w:left="5046" w:hanging="160"/>
      </w:pPr>
      <w:rPr>
        <w:rFonts w:hint="default"/>
      </w:rPr>
    </w:lvl>
    <w:lvl w:ilvl="7" w:tentative="0">
      <w:start w:val="0"/>
      <w:numFmt w:val="bullet"/>
      <w:lvlText w:val="•"/>
      <w:lvlJc w:val="left"/>
      <w:pPr>
        <w:ind w:left="5883" w:hanging="160"/>
      </w:pPr>
      <w:rPr>
        <w:rFonts w:hint="default"/>
      </w:rPr>
    </w:lvl>
    <w:lvl w:ilvl="8" w:tentative="0">
      <w:start w:val="0"/>
      <w:numFmt w:val="bullet"/>
      <w:lvlText w:val="•"/>
      <w:lvlJc w:val="left"/>
      <w:pPr>
        <w:ind w:left="6721" w:hanging="160"/>
      </w:pPr>
      <w:rPr>
        <w:rFonts w:hint="default"/>
      </w:rPr>
    </w:lvl>
  </w:abstractNum>
  <w:abstractNum w:abstractNumId="11">
    <w:nsid w:val="4A3C1FA3"/>
    <w:multiLevelType w:val="multilevel"/>
    <w:tmpl w:val="4A3C1FA3"/>
    <w:lvl w:ilvl="0" w:tentative="0">
      <w:start w:val="1"/>
      <w:numFmt w:val="decimal"/>
      <w:lvlText w:val="%1."/>
      <w:lvlJc w:val="left"/>
      <w:pPr>
        <w:ind w:left="26" w:hanging="160"/>
      </w:pPr>
      <w:rPr>
        <w:rFonts w:hint="default" w:ascii="Times New Roman" w:hAnsi="Times New Roman" w:eastAsia="Times New Roman" w:cs="Times New Roman"/>
        <w:w w:val="100"/>
        <w:sz w:val="19"/>
        <w:szCs w:val="19"/>
      </w:rPr>
    </w:lvl>
    <w:lvl w:ilvl="1" w:tentative="0">
      <w:start w:val="0"/>
      <w:numFmt w:val="bullet"/>
      <w:lvlText w:val="•"/>
      <w:lvlJc w:val="left"/>
      <w:pPr>
        <w:ind w:left="400" w:hanging="160"/>
      </w:pPr>
      <w:rPr>
        <w:rFonts w:hint="default"/>
      </w:rPr>
    </w:lvl>
    <w:lvl w:ilvl="2" w:tentative="0">
      <w:start w:val="0"/>
      <w:numFmt w:val="bullet"/>
      <w:lvlText w:val="•"/>
      <w:lvlJc w:val="left"/>
      <w:pPr>
        <w:ind w:left="780" w:hanging="160"/>
      </w:pPr>
      <w:rPr>
        <w:rFonts w:hint="default"/>
      </w:rPr>
    </w:lvl>
    <w:lvl w:ilvl="3" w:tentative="0">
      <w:start w:val="0"/>
      <w:numFmt w:val="bullet"/>
      <w:lvlText w:val="•"/>
      <w:lvlJc w:val="left"/>
      <w:pPr>
        <w:ind w:left="1160" w:hanging="160"/>
      </w:pPr>
      <w:rPr>
        <w:rFonts w:hint="default"/>
      </w:rPr>
    </w:lvl>
    <w:lvl w:ilvl="4" w:tentative="0">
      <w:start w:val="0"/>
      <w:numFmt w:val="bullet"/>
      <w:lvlText w:val="•"/>
      <w:lvlJc w:val="left"/>
      <w:pPr>
        <w:ind w:left="1540" w:hanging="160"/>
      </w:pPr>
      <w:rPr>
        <w:rFonts w:hint="default"/>
      </w:rPr>
    </w:lvl>
    <w:lvl w:ilvl="5" w:tentative="0">
      <w:start w:val="0"/>
      <w:numFmt w:val="bullet"/>
      <w:lvlText w:val="•"/>
      <w:lvlJc w:val="left"/>
      <w:pPr>
        <w:ind w:left="1920" w:hanging="160"/>
      </w:pPr>
      <w:rPr>
        <w:rFonts w:hint="default"/>
      </w:rPr>
    </w:lvl>
    <w:lvl w:ilvl="6" w:tentative="0">
      <w:start w:val="0"/>
      <w:numFmt w:val="bullet"/>
      <w:lvlText w:val="•"/>
      <w:lvlJc w:val="left"/>
      <w:pPr>
        <w:ind w:left="2300" w:hanging="160"/>
      </w:pPr>
      <w:rPr>
        <w:rFonts w:hint="default"/>
      </w:rPr>
    </w:lvl>
    <w:lvl w:ilvl="7" w:tentative="0">
      <w:start w:val="0"/>
      <w:numFmt w:val="bullet"/>
      <w:lvlText w:val="•"/>
      <w:lvlJc w:val="left"/>
      <w:pPr>
        <w:ind w:left="2680" w:hanging="160"/>
      </w:pPr>
      <w:rPr>
        <w:rFonts w:hint="default"/>
      </w:rPr>
    </w:lvl>
    <w:lvl w:ilvl="8" w:tentative="0">
      <w:start w:val="0"/>
      <w:numFmt w:val="bullet"/>
      <w:lvlText w:val="•"/>
      <w:lvlJc w:val="left"/>
      <w:pPr>
        <w:ind w:left="3060" w:hanging="160"/>
      </w:pPr>
      <w:rPr>
        <w:rFonts w:hint="default"/>
      </w:rPr>
    </w:lvl>
  </w:abstractNum>
  <w:abstractNum w:abstractNumId="12">
    <w:nsid w:val="4F507B63"/>
    <w:multiLevelType w:val="multilevel"/>
    <w:tmpl w:val="4F507B63"/>
    <w:lvl w:ilvl="0" w:tentative="0">
      <w:start w:val="1"/>
      <w:numFmt w:val="decimal"/>
      <w:lvlText w:val="%1."/>
      <w:lvlJc w:val="left"/>
      <w:pPr>
        <w:ind w:left="1079" w:hanging="420"/>
      </w:pPr>
      <w:rPr>
        <w:rFonts w:hint="default" w:ascii="Times New Roman" w:hAnsi="Times New Roman" w:eastAsia="Times New Roman" w:cs="Times New Roman"/>
        <w:spacing w:val="0"/>
        <w:w w:val="100"/>
        <w:sz w:val="28"/>
        <w:szCs w:val="28"/>
      </w:rPr>
    </w:lvl>
    <w:lvl w:ilvl="1" w:tentative="0">
      <w:start w:val="0"/>
      <w:numFmt w:val="bullet"/>
      <w:lvlText w:val="•"/>
      <w:lvlJc w:val="left"/>
      <w:pPr>
        <w:ind w:left="1996" w:hanging="420"/>
      </w:pPr>
      <w:rPr>
        <w:rFonts w:hint="default"/>
      </w:rPr>
    </w:lvl>
    <w:lvl w:ilvl="2" w:tentative="0">
      <w:start w:val="0"/>
      <w:numFmt w:val="bullet"/>
      <w:lvlText w:val="•"/>
      <w:lvlJc w:val="left"/>
      <w:pPr>
        <w:ind w:left="2913" w:hanging="420"/>
      </w:pPr>
      <w:rPr>
        <w:rFonts w:hint="default"/>
      </w:rPr>
    </w:lvl>
    <w:lvl w:ilvl="3" w:tentative="0">
      <w:start w:val="0"/>
      <w:numFmt w:val="bullet"/>
      <w:lvlText w:val="•"/>
      <w:lvlJc w:val="left"/>
      <w:pPr>
        <w:ind w:left="3829" w:hanging="420"/>
      </w:pPr>
      <w:rPr>
        <w:rFonts w:hint="default"/>
      </w:rPr>
    </w:lvl>
    <w:lvl w:ilvl="4" w:tentative="0">
      <w:start w:val="0"/>
      <w:numFmt w:val="bullet"/>
      <w:lvlText w:val="•"/>
      <w:lvlJc w:val="left"/>
      <w:pPr>
        <w:ind w:left="4746" w:hanging="420"/>
      </w:pPr>
      <w:rPr>
        <w:rFonts w:hint="default"/>
      </w:rPr>
    </w:lvl>
    <w:lvl w:ilvl="5" w:tentative="0">
      <w:start w:val="0"/>
      <w:numFmt w:val="bullet"/>
      <w:lvlText w:val="•"/>
      <w:lvlJc w:val="left"/>
      <w:pPr>
        <w:ind w:left="5663" w:hanging="420"/>
      </w:pPr>
      <w:rPr>
        <w:rFonts w:hint="default"/>
      </w:rPr>
    </w:lvl>
    <w:lvl w:ilvl="6" w:tentative="0">
      <w:start w:val="0"/>
      <w:numFmt w:val="bullet"/>
      <w:lvlText w:val="•"/>
      <w:lvlJc w:val="left"/>
      <w:pPr>
        <w:ind w:left="6579" w:hanging="420"/>
      </w:pPr>
      <w:rPr>
        <w:rFonts w:hint="default"/>
      </w:rPr>
    </w:lvl>
    <w:lvl w:ilvl="7" w:tentative="0">
      <w:start w:val="0"/>
      <w:numFmt w:val="bullet"/>
      <w:lvlText w:val="•"/>
      <w:lvlJc w:val="left"/>
      <w:pPr>
        <w:ind w:left="7496" w:hanging="420"/>
      </w:pPr>
      <w:rPr>
        <w:rFonts w:hint="default"/>
      </w:rPr>
    </w:lvl>
    <w:lvl w:ilvl="8" w:tentative="0">
      <w:start w:val="0"/>
      <w:numFmt w:val="bullet"/>
      <w:lvlText w:val="•"/>
      <w:lvlJc w:val="left"/>
      <w:pPr>
        <w:ind w:left="8413" w:hanging="420"/>
      </w:pPr>
      <w:rPr>
        <w:rFonts w:hint="default"/>
      </w:rPr>
    </w:lvl>
  </w:abstractNum>
  <w:abstractNum w:abstractNumId="13">
    <w:nsid w:val="5BB165DE"/>
    <w:multiLevelType w:val="multilevel"/>
    <w:tmpl w:val="5BB165DE"/>
    <w:lvl w:ilvl="0" w:tentative="0">
      <w:start w:val="1"/>
      <w:numFmt w:val="decimal"/>
      <w:lvlText w:val="%1."/>
      <w:lvlJc w:val="left"/>
      <w:pPr>
        <w:ind w:left="28" w:hanging="160"/>
      </w:pPr>
      <w:rPr>
        <w:rFonts w:hint="default" w:ascii="Times New Roman" w:hAnsi="Times New Roman" w:eastAsia="Times New Roman" w:cs="Times New Roman"/>
        <w:w w:val="100"/>
        <w:sz w:val="19"/>
        <w:szCs w:val="19"/>
      </w:rPr>
    </w:lvl>
    <w:lvl w:ilvl="1" w:tentative="0">
      <w:start w:val="0"/>
      <w:numFmt w:val="bullet"/>
      <w:lvlText w:val="•"/>
      <w:lvlJc w:val="left"/>
      <w:pPr>
        <w:ind w:left="857" w:hanging="160"/>
      </w:pPr>
      <w:rPr>
        <w:rFonts w:hint="default"/>
      </w:rPr>
    </w:lvl>
    <w:lvl w:ilvl="2" w:tentative="0">
      <w:start w:val="0"/>
      <w:numFmt w:val="bullet"/>
      <w:lvlText w:val="•"/>
      <w:lvlJc w:val="left"/>
      <w:pPr>
        <w:ind w:left="1695" w:hanging="160"/>
      </w:pPr>
      <w:rPr>
        <w:rFonts w:hint="default"/>
      </w:rPr>
    </w:lvl>
    <w:lvl w:ilvl="3" w:tentative="0">
      <w:start w:val="0"/>
      <w:numFmt w:val="bullet"/>
      <w:lvlText w:val="•"/>
      <w:lvlJc w:val="left"/>
      <w:pPr>
        <w:ind w:left="2533" w:hanging="160"/>
      </w:pPr>
      <w:rPr>
        <w:rFonts w:hint="default"/>
      </w:rPr>
    </w:lvl>
    <w:lvl w:ilvl="4" w:tentative="0">
      <w:start w:val="0"/>
      <w:numFmt w:val="bullet"/>
      <w:lvlText w:val="•"/>
      <w:lvlJc w:val="left"/>
      <w:pPr>
        <w:ind w:left="3370" w:hanging="160"/>
      </w:pPr>
      <w:rPr>
        <w:rFonts w:hint="default"/>
      </w:rPr>
    </w:lvl>
    <w:lvl w:ilvl="5" w:tentative="0">
      <w:start w:val="0"/>
      <w:numFmt w:val="bullet"/>
      <w:lvlText w:val="•"/>
      <w:lvlJc w:val="left"/>
      <w:pPr>
        <w:ind w:left="4208" w:hanging="160"/>
      </w:pPr>
      <w:rPr>
        <w:rFonts w:hint="default"/>
      </w:rPr>
    </w:lvl>
    <w:lvl w:ilvl="6" w:tentative="0">
      <w:start w:val="0"/>
      <w:numFmt w:val="bullet"/>
      <w:lvlText w:val="•"/>
      <w:lvlJc w:val="left"/>
      <w:pPr>
        <w:ind w:left="5046" w:hanging="160"/>
      </w:pPr>
      <w:rPr>
        <w:rFonts w:hint="default"/>
      </w:rPr>
    </w:lvl>
    <w:lvl w:ilvl="7" w:tentative="0">
      <w:start w:val="0"/>
      <w:numFmt w:val="bullet"/>
      <w:lvlText w:val="•"/>
      <w:lvlJc w:val="left"/>
      <w:pPr>
        <w:ind w:left="5883" w:hanging="160"/>
      </w:pPr>
      <w:rPr>
        <w:rFonts w:hint="default"/>
      </w:rPr>
    </w:lvl>
    <w:lvl w:ilvl="8" w:tentative="0">
      <w:start w:val="0"/>
      <w:numFmt w:val="bullet"/>
      <w:lvlText w:val="•"/>
      <w:lvlJc w:val="left"/>
      <w:pPr>
        <w:ind w:left="6721" w:hanging="160"/>
      </w:pPr>
      <w:rPr>
        <w:rFonts w:hint="default"/>
      </w:rPr>
    </w:lvl>
  </w:abstractNum>
  <w:abstractNum w:abstractNumId="14">
    <w:nsid w:val="5F779857"/>
    <w:multiLevelType w:val="multilevel"/>
    <w:tmpl w:val="5F779857"/>
    <w:lvl w:ilvl="0" w:tentative="0">
      <w:start w:val="1"/>
      <w:numFmt w:val="decimal"/>
      <w:lvlText w:val="%1."/>
      <w:lvlJc w:val="left"/>
      <w:pPr>
        <w:ind w:left="1079" w:hanging="420"/>
      </w:pPr>
      <w:rPr>
        <w:rFonts w:hint="default" w:ascii="Times New Roman" w:hAnsi="Times New Roman" w:eastAsia="Times New Roman" w:cs="Times New Roman"/>
        <w:spacing w:val="0"/>
        <w:w w:val="100"/>
        <w:sz w:val="28"/>
        <w:szCs w:val="28"/>
      </w:rPr>
    </w:lvl>
    <w:lvl w:ilvl="1" w:tentative="0">
      <w:start w:val="0"/>
      <w:numFmt w:val="bullet"/>
      <w:lvlText w:val="•"/>
      <w:lvlJc w:val="left"/>
      <w:pPr>
        <w:ind w:left="1996" w:hanging="420"/>
      </w:pPr>
      <w:rPr>
        <w:rFonts w:hint="default"/>
      </w:rPr>
    </w:lvl>
    <w:lvl w:ilvl="2" w:tentative="0">
      <w:start w:val="0"/>
      <w:numFmt w:val="bullet"/>
      <w:lvlText w:val="•"/>
      <w:lvlJc w:val="left"/>
      <w:pPr>
        <w:ind w:left="2913" w:hanging="420"/>
      </w:pPr>
      <w:rPr>
        <w:rFonts w:hint="default"/>
      </w:rPr>
    </w:lvl>
    <w:lvl w:ilvl="3" w:tentative="0">
      <w:start w:val="0"/>
      <w:numFmt w:val="bullet"/>
      <w:lvlText w:val="•"/>
      <w:lvlJc w:val="left"/>
      <w:pPr>
        <w:ind w:left="3829" w:hanging="420"/>
      </w:pPr>
      <w:rPr>
        <w:rFonts w:hint="default"/>
      </w:rPr>
    </w:lvl>
    <w:lvl w:ilvl="4" w:tentative="0">
      <w:start w:val="0"/>
      <w:numFmt w:val="bullet"/>
      <w:lvlText w:val="•"/>
      <w:lvlJc w:val="left"/>
      <w:pPr>
        <w:ind w:left="4746" w:hanging="420"/>
      </w:pPr>
      <w:rPr>
        <w:rFonts w:hint="default"/>
      </w:rPr>
    </w:lvl>
    <w:lvl w:ilvl="5" w:tentative="0">
      <w:start w:val="0"/>
      <w:numFmt w:val="bullet"/>
      <w:lvlText w:val="•"/>
      <w:lvlJc w:val="left"/>
      <w:pPr>
        <w:ind w:left="5663" w:hanging="420"/>
      </w:pPr>
      <w:rPr>
        <w:rFonts w:hint="default"/>
      </w:rPr>
    </w:lvl>
    <w:lvl w:ilvl="6" w:tentative="0">
      <w:start w:val="0"/>
      <w:numFmt w:val="bullet"/>
      <w:lvlText w:val="•"/>
      <w:lvlJc w:val="left"/>
      <w:pPr>
        <w:ind w:left="6579" w:hanging="420"/>
      </w:pPr>
      <w:rPr>
        <w:rFonts w:hint="default"/>
      </w:rPr>
    </w:lvl>
    <w:lvl w:ilvl="7" w:tentative="0">
      <w:start w:val="0"/>
      <w:numFmt w:val="bullet"/>
      <w:lvlText w:val="•"/>
      <w:lvlJc w:val="left"/>
      <w:pPr>
        <w:ind w:left="7496" w:hanging="420"/>
      </w:pPr>
      <w:rPr>
        <w:rFonts w:hint="default"/>
      </w:rPr>
    </w:lvl>
    <w:lvl w:ilvl="8" w:tentative="0">
      <w:start w:val="0"/>
      <w:numFmt w:val="bullet"/>
      <w:lvlText w:val="•"/>
      <w:lvlJc w:val="left"/>
      <w:pPr>
        <w:ind w:left="8413" w:hanging="420"/>
      </w:pPr>
      <w:rPr>
        <w:rFonts w:hint="default"/>
      </w:rPr>
    </w:lvl>
  </w:abstractNum>
  <w:abstractNum w:abstractNumId="15">
    <w:nsid w:val="5F8254E9"/>
    <w:multiLevelType w:val="multilevel"/>
    <w:tmpl w:val="5F8254E9"/>
    <w:lvl w:ilvl="0" w:tentative="0">
      <w:start w:val="1"/>
      <w:numFmt w:val="decimal"/>
      <w:lvlText w:val="%1."/>
      <w:lvlJc w:val="left"/>
      <w:pPr>
        <w:ind w:left="26" w:hanging="160"/>
      </w:pPr>
      <w:rPr>
        <w:rFonts w:hint="default" w:ascii="Times New Roman" w:hAnsi="Times New Roman" w:eastAsia="Times New Roman" w:cs="Times New Roman"/>
        <w:w w:val="100"/>
        <w:sz w:val="19"/>
        <w:szCs w:val="19"/>
      </w:rPr>
    </w:lvl>
    <w:lvl w:ilvl="1" w:tentative="0">
      <w:start w:val="0"/>
      <w:numFmt w:val="bullet"/>
      <w:lvlText w:val="•"/>
      <w:lvlJc w:val="left"/>
      <w:pPr>
        <w:ind w:left="400" w:hanging="160"/>
      </w:pPr>
      <w:rPr>
        <w:rFonts w:hint="default"/>
      </w:rPr>
    </w:lvl>
    <w:lvl w:ilvl="2" w:tentative="0">
      <w:start w:val="0"/>
      <w:numFmt w:val="bullet"/>
      <w:lvlText w:val="•"/>
      <w:lvlJc w:val="left"/>
      <w:pPr>
        <w:ind w:left="780" w:hanging="160"/>
      </w:pPr>
      <w:rPr>
        <w:rFonts w:hint="default"/>
      </w:rPr>
    </w:lvl>
    <w:lvl w:ilvl="3" w:tentative="0">
      <w:start w:val="0"/>
      <w:numFmt w:val="bullet"/>
      <w:lvlText w:val="•"/>
      <w:lvlJc w:val="left"/>
      <w:pPr>
        <w:ind w:left="1160" w:hanging="160"/>
      </w:pPr>
      <w:rPr>
        <w:rFonts w:hint="default"/>
      </w:rPr>
    </w:lvl>
    <w:lvl w:ilvl="4" w:tentative="0">
      <w:start w:val="0"/>
      <w:numFmt w:val="bullet"/>
      <w:lvlText w:val="•"/>
      <w:lvlJc w:val="left"/>
      <w:pPr>
        <w:ind w:left="1540" w:hanging="160"/>
      </w:pPr>
      <w:rPr>
        <w:rFonts w:hint="default"/>
      </w:rPr>
    </w:lvl>
    <w:lvl w:ilvl="5" w:tentative="0">
      <w:start w:val="0"/>
      <w:numFmt w:val="bullet"/>
      <w:lvlText w:val="•"/>
      <w:lvlJc w:val="left"/>
      <w:pPr>
        <w:ind w:left="1920" w:hanging="160"/>
      </w:pPr>
      <w:rPr>
        <w:rFonts w:hint="default"/>
      </w:rPr>
    </w:lvl>
    <w:lvl w:ilvl="6" w:tentative="0">
      <w:start w:val="0"/>
      <w:numFmt w:val="bullet"/>
      <w:lvlText w:val="•"/>
      <w:lvlJc w:val="left"/>
      <w:pPr>
        <w:ind w:left="2300" w:hanging="160"/>
      </w:pPr>
      <w:rPr>
        <w:rFonts w:hint="default"/>
      </w:rPr>
    </w:lvl>
    <w:lvl w:ilvl="7" w:tentative="0">
      <w:start w:val="0"/>
      <w:numFmt w:val="bullet"/>
      <w:lvlText w:val="•"/>
      <w:lvlJc w:val="left"/>
      <w:pPr>
        <w:ind w:left="2680" w:hanging="160"/>
      </w:pPr>
      <w:rPr>
        <w:rFonts w:hint="default"/>
      </w:rPr>
    </w:lvl>
    <w:lvl w:ilvl="8" w:tentative="0">
      <w:start w:val="0"/>
      <w:numFmt w:val="bullet"/>
      <w:lvlText w:val="•"/>
      <w:lvlJc w:val="left"/>
      <w:pPr>
        <w:ind w:left="3060" w:hanging="160"/>
      </w:pPr>
      <w:rPr>
        <w:rFonts w:hint="default"/>
      </w:rPr>
    </w:lvl>
  </w:abstractNum>
  <w:abstractNum w:abstractNumId="16">
    <w:nsid w:val="6BC07B48"/>
    <w:multiLevelType w:val="multilevel"/>
    <w:tmpl w:val="6BC07B48"/>
    <w:lvl w:ilvl="0" w:tentative="0">
      <w:start w:val="1"/>
      <w:numFmt w:val="decimal"/>
      <w:lvlText w:val="%1."/>
      <w:lvlJc w:val="left"/>
      <w:pPr>
        <w:ind w:left="187" w:hanging="160"/>
      </w:pPr>
      <w:rPr>
        <w:rFonts w:hint="default" w:ascii="Times New Roman" w:hAnsi="Times New Roman" w:eastAsia="Times New Roman" w:cs="Times New Roman"/>
        <w:w w:val="100"/>
        <w:sz w:val="19"/>
        <w:szCs w:val="19"/>
      </w:rPr>
    </w:lvl>
    <w:lvl w:ilvl="1" w:tentative="0">
      <w:start w:val="0"/>
      <w:numFmt w:val="bullet"/>
      <w:lvlText w:val="•"/>
      <w:lvlJc w:val="left"/>
      <w:pPr>
        <w:ind w:left="1001" w:hanging="160"/>
      </w:pPr>
      <w:rPr>
        <w:rFonts w:hint="default"/>
      </w:rPr>
    </w:lvl>
    <w:lvl w:ilvl="2" w:tentative="0">
      <w:start w:val="0"/>
      <w:numFmt w:val="bullet"/>
      <w:lvlText w:val="•"/>
      <w:lvlJc w:val="left"/>
      <w:pPr>
        <w:ind w:left="1823" w:hanging="160"/>
      </w:pPr>
      <w:rPr>
        <w:rFonts w:hint="default"/>
      </w:rPr>
    </w:lvl>
    <w:lvl w:ilvl="3" w:tentative="0">
      <w:start w:val="0"/>
      <w:numFmt w:val="bullet"/>
      <w:lvlText w:val="•"/>
      <w:lvlJc w:val="left"/>
      <w:pPr>
        <w:ind w:left="2645" w:hanging="160"/>
      </w:pPr>
      <w:rPr>
        <w:rFonts w:hint="default"/>
      </w:rPr>
    </w:lvl>
    <w:lvl w:ilvl="4" w:tentative="0">
      <w:start w:val="0"/>
      <w:numFmt w:val="bullet"/>
      <w:lvlText w:val="•"/>
      <w:lvlJc w:val="left"/>
      <w:pPr>
        <w:ind w:left="3466" w:hanging="160"/>
      </w:pPr>
      <w:rPr>
        <w:rFonts w:hint="default"/>
      </w:rPr>
    </w:lvl>
    <w:lvl w:ilvl="5" w:tentative="0">
      <w:start w:val="0"/>
      <w:numFmt w:val="bullet"/>
      <w:lvlText w:val="•"/>
      <w:lvlJc w:val="left"/>
      <w:pPr>
        <w:ind w:left="4288" w:hanging="160"/>
      </w:pPr>
      <w:rPr>
        <w:rFonts w:hint="default"/>
      </w:rPr>
    </w:lvl>
    <w:lvl w:ilvl="6" w:tentative="0">
      <w:start w:val="0"/>
      <w:numFmt w:val="bullet"/>
      <w:lvlText w:val="•"/>
      <w:lvlJc w:val="left"/>
      <w:pPr>
        <w:ind w:left="5110" w:hanging="160"/>
      </w:pPr>
      <w:rPr>
        <w:rFonts w:hint="default"/>
      </w:rPr>
    </w:lvl>
    <w:lvl w:ilvl="7" w:tentative="0">
      <w:start w:val="0"/>
      <w:numFmt w:val="bullet"/>
      <w:lvlText w:val="•"/>
      <w:lvlJc w:val="left"/>
      <w:pPr>
        <w:ind w:left="5931" w:hanging="160"/>
      </w:pPr>
      <w:rPr>
        <w:rFonts w:hint="default"/>
      </w:rPr>
    </w:lvl>
    <w:lvl w:ilvl="8" w:tentative="0">
      <w:start w:val="0"/>
      <w:numFmt w:val="bullet"/>
      <w:lvlText w:val="•"/>
      <w:lvlJc w:val="left"/>
      <w:pPr>
        <w:ind w:left="6753" w:hanging="160"/>
      </w:pPr>
      <w:rPr>
        <w:rFonts w:hint="default"/>
      </w:rPr>
    </w:lvl>
  </w:abstractNum>
  <w:abstractNum w:abstractNumId="17">
    <w:nsid w:val="7E9B4287"/>
    <w:multiLevelType w:val="multilevel"/>
    <w:tmpl w:val="7E9B4287"/>
    <w:lvl w:ilvl="0" w:tentative="0">
      <w:start w:val="1"/>
      <w:numFmt w:val="decimal"/>
      <w:lvlText w:val="%1."/>
      <w:lvlJc w:val="left"/>
      <w:pPr>
        <w:ind w:left="185" w:hanging="160"/>
      </w:pPr>
      <w:rPr>
        <w:rFonts w:hint="default" w:ascii="Times New Roman" w:hAnsi="Times New Roman" w:eastAsia="Times New Roman" w:cs="Times New Roman"/>
        <w:w w:val="100"/>
        <w:sz w:val="19"/>
        <w:szCs w:val="19"/>
      </w:rPr>
    </w:lvl>
    <w:lvl w:ilvl="1" w:tentative="0">
      <w:start w:val="0"/>
      <w:numFmt w:val="bullet"/>
      <w:lvlText w:val="•"/>
      <w:lvlJc w:val="left"/>
      <w:pPr>
        <w:ind w:left="544" w:hanging="160"/>
      </w:pPr>
      <w:rPr>
        <w:rFonts w:hint="default"/>
      </w:rPr>
    </w:lvl>
    <w:lvl w:ilvl="2" w:tentative="0">
      <w:start w:val="0"/>
      <w:numFmt w:val="bullet"/>
      <w:lvlText w:val="•"/>
      <w:lvlJc w:val="left"/>
      <w:pPr>
        <w:ind w:left="908" w:hanging="160"/>
      </w:pPr>
      <w:rPr>
        <w:rFonts w:hint="default"/>
      </w:rPr>
    </w:lvl>
    <w:lvl w:ilvl="3" w:tentative="0">
      <w:start w:val="0"/>
      <w:numFmt w:val="bullet"/>
      <w:lvlText w:val="•"/>
      <w:lvlJc w:val="left"/>
      <w:pPr>
        <w:ind w:left="1272" w:hanging="160"/>
      </w:pPr>
      <w:rPr>
        <w:rFonts w:hint="default"/>
      </w:rPr>
    </w:lvl>
    <w:lvl w:ilvl="4" w:tentative="0">
      <w:start w:val="0"/>
      <w:numFmt w:val="bullet"/>
      <w:lvlText w:val="•"/>
      <w:lvlJc w:val="left"/>
      <w:pPr>
        <w:ind w:left="1636" w:hanging="160"/>
      </w:pPr>
      <w:rPr>
        <w:rFonts w:hint="default"/>
      </w:rPr>
    </w:lvl>
    <w:lvl w:ilvl="5" w:tentative="0">
      <w:start w:val="0"/>
      <w:numFmt w:val="bullet"/>
      <w:lvlText w:val="•"/>
      <w:lvlJc w:val="left"/>
      <w:pPr>
        <w:ind w:left="2000" w:hanging="160"/>
      </w:pPr>
      <w:rPr>
        <w:rFonts w:hint="default"/>
      </w:rPr>
    </w:lvl>
    <w:lvl w:ilvl="6" w:tentative="0">
      <w:start w:val="0"/>
      <w:numFmt w:val="bullet"/>
      <w:lvlText w:val="•"/>
      <w:lvlJc w:val="left"/>
      <w:pPr>
        <w:ind w:left="2364" w:hanging="160"/>
      </w:pPr>
      <w:rPr>
        <w:rFonts w:hint="default"/>
      </w:rPr>
    </w:lvl>
    <w:lvl w:ilvl="7" w:tentative="0">
      <w:start w:val="0"/>
      <w:numFmt w:val="bullet"/>
      <w:lvlText w:val="•"/>
      <w:lvlJc w:val="left"/>
      <w:pPr>
        <w:ind w:left="2728" w:hanging="160"/>
      </w:pPr>
      <w:rPr>
        <w:rFonts w:hint="default"/>
      </w:rPr>
    </w:lvl>
    <w:lvl w:ilvl="8" w:tentative="0">
      <w:start w:val="0"/>
      <w:numFmt w:val="bullet"/>
      <w:lvlText w:val="•"/>
      <w:lvlJc w:val="left"/>
      <w:pPr>
        <w:ind w:left="3092" w:hanging="160"/>
      </w:pPr>
      <w:rPr>
        <w:rFonts w:hint="default"/>
      </w:rPr>
    </w:lvl>
  </w:abstractNum>
  <w:abstractNum w:abstractNumId="18">
    <w:nsid w:val="7F357BAD"/>
    <w:multiLevelType w:val="multilevel"/>
    <w:tmpl w:val="7F357BAD"/>
    <w:lvl w:ilvl="0" w:tentative="0">
      <w:start w:val="1"/>
      <w:numFmt w:val="decimal"/>
      <w:lvlText w:val="%1."/>
      <w:lvlJc w:val="left"/>
      <w:pPr>
        <w:ind w:left="1079" w:hanging="420"/>
      </w:pPr>
      <w:rPr>
        <w:rFonts w:hint="default" w:ascii="Times New Roman" w:hAnsi="Times New Roman" w:eastAsia="Times New Roman" w:cs="Times New Roman"/>
        <w:spacing w:val="0"/>
        <w:w w:val="100"/>
        <w:sz w:val="28"/>
        <w:szCs w:val="28"/>
      </w:rPr>
    </w:lvl>
    <w:lvl w:ilvl="1" w:tentative="0">
      <w:start w:val="0"/>
      <w:numFmt w:val="bullet"/>
      <w:lvlText w:val="•"/>
      <w:lvlJc w:val="left"/>
      <w:pPr>
        <w:ind w:left="1996" w:hanging="420"/>
      </w:pPr>
      <w:rPr>
        <w:rFonts w:hint="default"/>
      </w:rPr>
    </w:lvl>
    <w:lvl w:ilvl="2" w:tentative="0">
      <w:start w:val="0"/>
      <w:numFmt w:val="bullet"/>
      <w:lvlText w:val="•"/>
      <w:lvlJc w:val="left"/>
      <w:pPr>
        <w:ind w:left="2913" w:hanging="420"/>
      </w:pPr>
      <w:rPr>
        <w:rFonts w:hint="default"/>
      </w:rPr>
    </w:lvl>
    <w:lvl w:ilvl="3" w:tentative="0">
      <w:start w:val="0"/>
      <w:numFmt w:val="bullet"/>
      <w:lvlText w:val="•"/>
      <w:lvlJc w:val="left"/>
      <w:pPr>
        <w:ind w:left="3829" w:hanging="420"/>
      </w:pPr>
      <w:rPr>
        <w:rFonts w:hint="default"/>
      </w:rPr>
    </w:lvl>
    <w:lvl w:ilvl="4" w:tentative="0">
      <w:start w:val="0"/>
      <w:numFmt w:val="bullet"/>
      <w:lvlText w:val="•"/>
      <w:lvlJc w:val="left"/>
      <w:pPr>
        <w:ind w:left="4746" w:hanging="420"/>
      </w:pPr>
      <w:rPr>
        <w:rFonts w:hint="default"/>
      </w:rPr>
    </w:lvl>
    <w:lvl w:ilvl="5" w:tentative="0">
      <w:start w:val="0"/>
      <w:numFmt w:val="bullet"/>
      <w:lvlText w:val="•"/>
      <w:lvlJc w:val="left"/>
      <w:pPr>
        <w:ind w:left="5663" w:hanging="420"/>
      </w:pPr>
      <w:rPr>
        <w:rFonts w:hint="default"/>
      </w:rPr>
    </w:lvl>
    <w:lvl w:ilvl="6" w:tentative="0">
      <w:start w:val="0"/>
      <w:numFmt w:val="bullet"/>
      <w:lvlText w:val="•"/>
      <w:lvlJc w:val="left"/>
      <w:pPr>
        <w:ind w:left="6579" w:hanging="420"/>
      </w:pPr>
      <w:rPr>
        <w:rFonts w:hint="default"/>
      </w:rPr>
    </w:lvl>
    <w:lvl w:ilvl="7" w:tentative="0">
      <w:start w:val="0"/>
      <w:numFmt w:val="bullet"/>
      <w:lvlText w:val="•"/>
      <w:lvlJc w:val="left"/>
      <w:pPr>
        <w:ind w:left="7496" w:hanging="420"/>
      </w:pPr>
      <w:rPr>
        <w:rFonts w:hint="default"/>
      </w:rPr>
    </w:lvl>
    <w:lvl w:ilvl="8" w:tentative="0">
      <w:start w:val="0"/>
      <w:numFmt w:val="bullet"/>
      <w:lvlText w:val="•"/>
      <w:lvlJc w:val="left"/>
      <w:pPr>
        <w:ind w:left="8413" w:hanging="420"/>
      </w:pPr>
      <w:rPr>
        <w:rFonts w:hint="default"/>
      </w:rPr>
    </w:lvl>
  </w:abstractNum>
  <w:num w:numId="1">
    <w:abstractNumId w:val="7"/>
  </w:num>
  <w:num w:numId="2">
    <w:abstractNumId w:val="9"/>
  </w:num>
  <w:num w:numId="3">
    <w:abstractNumId w:val="12"/>
  </w:num>
  <w:num w:numId="4">
    <w:abstractNumId w:val="2"/>
  </w:num>
  <w:num w:numId="5">
    <w:abstractNumId w:val="18"/>
  </w:num>
  <w:num w:numId="6">
    <w:abstractNumId w:val="14"/>
  </w:num>
  <w:num w:numId="7">
    <w:abstractNumId w:val="3"/>
  </w:num>
  <w:num w:numId="8">
    <w:abstractNumId w:val="17"/>
  </w:num>
  <w:num w:numId="9">
    <w:abstractNumId w:val="1"/>
  </w:num>
  <w:num w:numId="10">
    <w:abstractNumId w:val="5"/>
  </w:num>
  <w:num w:numId="11">
    <w:abstractNumId w:val="11"/>
  </w:num>
  <w:num w:numId="12">
    <w:abstractNumId w:val="15"/>
  </w:num>
  <w:num w:numId="13">
    <w:abstractNumId w:val="4"/>
  </w:num>
  <w:num w:numId="14">
    <w:abstractNumId w:val="6"/>
  </w:num>
  <w:num w:numId="15">
    <w:abstractNumId w:val="8"/>
  </w:num>
  <w:num w:numId="16">
    <w:abstractNumId w:val="0"/>
  </w:num>
  <w:num w:numId="17">
    <w:abstractNumId w:val="10"/>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A9E"/>
    <w:rsid w:val="00002111"/>
    <w:rsid w:val="00005C62"/>
    <w:rsid w:val="000639B0"/>
    <w:rsid w:val="000715CF"/>
    <w:rsid w:val="000856C2"/>
    <w:rsid w:val="00090F94"/>
    <w:rsid w:val="000C49ED"/>
    <w:rsid w:val="000D37DE"/>
    <w:rsid w:val="00101A6D"/>
    <w:rsid w:val="0013618C"/>
    <w:rsid w:val="00170376"/>
    <w:rsid w:val="00186AE5"/>
    <w:rsid w:val="00197B7B"/>
    <w:rsid w:val="001B2292"/>
    <w:rsid w:val="00220DFB"/>
    <w:rsid w:val="00237255"/>
    <w:rsid w:val="00240291"/>
    <w:rsid w:val="002B1094"/>
    <w:rsid w:val="003463C3"/>
    <w:rsid w:val="003523D1"/>
    <w:rsid w:val="00380549"/>
    <w:rsid w:val="0039246F"/>
    <w:rsid w:val="003C381E"/>
    <w:rsid w:val="00400B96"/>
    <w:rsid w:val="0040461D"/>
    <w:rsid w:val="0047572E"/>
    <w:rsid w:val="004826E0"/>
    <w:rsid w:val="00496C3E"/>
    <w:rsid w:val="004B6445"/>
    <w:rsid w:val="004D6814"/>
    <w:rsid w:val="005303C4"/>
    <w:rsid w:val="00586EC9"/>
    <w:rsid w:val="005A16F3"/>
    <w:rsid w:val="005D1001"/>
    <w:rsid w:val="005D438B"/>
    <w:rsid w:val="00614CC6"/>
    <w:rsid w:val="00620A20"/>
    <w:rsid w:val="0063082E"/>
    <w:rsid w:val="00653234"/>
    <w:rsid w:val="00693D35"/>
    <w:rsid w:val="006B5E6D"/>
    <w:rsid w:val="006C0F36"/>
    <w:rsid w:val="006F44B4"/>
    <w:rsid w:val="007017C3"/>
    <w:rsid w:val="00716095"/>
    <w:rsid w:val="0072019B"/>
    <w:rsid w:val="00725CE4"/>
    <w:rsid w:val="00770CF2"/>
    <w:rsid w:val="00796E25"/>
    <w:rsid w:val="007E67A2"/>
    <w:rsid w:val="008512E6"/>
    <w:rsid w:val="0085542C"/>
    <w:rsid w:val="00863242"/>
    <w:rsid w:val="00891963"/>
    <w:rsid w:val="008D1BC1"/>
    <w:rsid w:val="008E0DE2"/>
    <w:rsid w:val="00940300"/>
    <w:rsid w:val="00990038"/>
    <w:rsid w:val="009C17B0"/>
    <w:rsid w:val="00A51544"/>
    <w:rsid w:val="00A67D39"/>
    <w:rsid w:val="00A85F00"/>
    <w:rsid w:val="00A9635C"/>
    <w:rsid w:val="00AA4A5B"/>
    <w:rsid w:val="00AC33B9"/>
    <w:rsid w:val="00AE5DDF"/>
    <w:rsid w:val="00AF3F67"/>
    <w:rsid w:val="00B12AFA"/>
    <w:rsid w:val="00B32C8F"/>
    <w:rsid w:val="00BE140F"/>
    <w:rsid w:val="00C11F3D"/>
    <w:rsid w:val="00C81E1E"/>
    <w:rsid w:val="00CA4CA6"/>
    <w:rsid w:val="00CB6DBD"/>
    <w:rsid w:val="00CC7B50"/>
    <w:rsid w:val="00CF0774"/>
    <w:rsid w:val="00CF3E63"/>
    <w:rsid w:val="00D13640"/>
    <w:rsid w:val="00D249D6"/>
    <w:rsid w:val="00D37B0F"/>
    <w:rsid w:val="00D60882"/>
    <w:rsid w:val="00D83BDB"/>
    <w:rsid w:val="00DC0103"/>
    <w:rsid w:val="00DE4873"/>
    <w:rsid w:val="00E33E0C"/>
    <w:rsid w:val="00E461C0"/>
    <w:rsid w:val="00E54A07"/>
    <w:rsid w:val="00E63A9E"/>
    <w:rsid w:val="00E81E3E"/>
    <w:rsid w:val="00E87AB6"/>
    <w:rsid w:val="00EC7FBE"/>
    <w:rsid w:val="00ED3B1A"/>
    <w:rsid w:val="00FA480C"/>
    <w:rsid w:val="00FA7BD0"/>
    <w:rsid w:val="02630255"/>
    <w:rsid w:val="02B71517"/>
    <w:rsid w:val="034F16E4"/>
    <w:rsid w:val="0375005C"/>
    <w:rsid w:val="039504BE"/>
    <w:rsid w:val="03EC23A3"/>
    <w:rsid w:val="044C6E68"/>
    <w:rsid w:val="044E7229"/>
    <w:rsid w:val="046E2FB8"/>
    <w:rsid w:val="055C6251"/>
    <w:rsid w:val="05A8391B"/>
    <w:rsid w:val="067D155B"/>
    <w:rsid w:val="06D7784E"/>
    <w:rsid w:val="07510C8F"/>
    <w:rsid w:val="079D3D55"/>
    <w:rsid w:val="07A2497A"/>
    <w:rsid w:val="08605D76"/>
    <w:rsid w:val="086535BC"/>
    <w:rsid w:val="08A64266"/>
    <w:rsid w:val="094B7882"/>
    <w:rsid w:val="09AD1F4B"/>
    <w:rsid w:val="09E264D0"/>
    <w:rsid w:val="0A9739E8"/>
    <w:rsid w:val="0B7B0824"/>
    <w:rsid w:val="0CF5380A"/>
    <w:rsid w:val="0DE01031"/>
    <w:rsid w:val="0F4E76C6"/>
    <w:rsid w:val="0F826515"/>
    <w:rsid w:val="10AB793D"/>
    <w:rsid w:val="11160F29"/>
    <w:rsid w:val="11825675"/>
    <w:rsid w:val="12920B11"/>
    <w:rsid w:val="12C16C73"/>
    <w:rsid w:val="12C761E2"/>
    <w:rsid w:val="12D34416"/>
    <w:rsid w:val="131B0168"/>
    <w:rsid w:val="13F2080D"/>
    <w:rsid w:val="14115531"/>
    <w:rsid w:val="15155054"/>
    <w:rsid w:val="15212572"/>
    <w:rsid w:val="15420CD9"/>
    <w:rsid w:val="157B135B"/>
    <w:rsid w:val="16CE3633"/>
    <w:rsid w:val="17FD273C"/>
    <w:rsid w:val="180D0B5B"/>
    <w:rsid w:val="184111C9"/>
    <w:rsid w:val="18F8104C"/>
    <w:rsid w:val="19CB3F91"/>
    <w:rsid w:val="19DC433A"/>
    <w:rsid w:val="1ADF09AD"/>
    <w:rsid w:val="1B411A0A"/>
    <w:rsid w:val="1CA90EA4"/>
    <w:rsid w:val="1CF53A0D"/>
    <w:rsid w:val="1D6D7C1D"/>
    <w:rsid w:val="1F7021C1"/>
    <w:rsid w:val="20515666"/>
    <w:rsid w:val="20744FBE"/>
    <w:rsid w:val="21582CD5"/>
    <w:rsid w:val="225623AF"/>
    <w:rsid w:val="232E5C5F"/>
    <w:rsid w:val="23B431BB"/>
    <w:rsid w:val="23D34A58"/>
    <w:rsid w:val="257356CF"/>
    <w:rsid w:val="257A33DD"/>
    <w:rsid w:val="25CD79B1"/>
    <w:rsid w:val="269C27A6"/>
    <w:rsid w:val="269D3BA8"/>
    <w:rsid w:val="26E532DE"/>
    <w:rsid w:val="27403010"/>
    <w:rsid w:val="27C7478A"/>
    <w:rsid w:val="27F56AE0"/>
    <w:rsid w:val="28F80E3A"/>
    <w:rsid w:val="2A3A49C1"/>
    <w:rsid w:val="2AC6377C"/>
    <w:rsid w:val="2BC56484"/>
    <w:rsid w:val="2BCA5259"/>
    <w:rsid w:val="2CD34A33"/>
    <w:rsid w:val="2CED0985"/>
    <w:rsid w:val="2CFE5BB5"/>
    <w:rsid w:val="2DCB2250"/>
    <w:rsid w:val="2DE825EC"/>
    <w:rsid w:val="2E8916A5"/>
    <w:rsid w:val="2F00636A"/>
    <w:rsid w:val="2F144911"/>
    <w:rsid w:val="2F5357A3"/>
    <w:rsid w:val="2F60411F"/>
    <w:rsid w:val="2FB7295A"/>
    <w:rsid w:val="307F0807"/>
    <w:rsid w:val="30B46E6D"/>
    <w:rsid w:val="30F954C5"/>
    <w:rsid w:val="313568F5"/>
    <w:rsid w:val="315057A1"/>
    <w:rsid w:val="318C24FB"/>
    <w:rsid w:val="31B859B9"/>
    <w:rsid w:val="31CD6292"/>
    <w:rsid w:val="323B1EF9"/>
    <w:rsid w:val="324D000F"/>
    <w:rsid w:val="33CB7B3D"/>
    <w:rsid w:val="34A7511F"/>
    <w:rsid w:val="350902DA"/>
    <w:rsid w:val="350C20C2"/>
    <w:rsid w:val="35324F1A"/>
    <w:rsid w:val="35436223"/>
    <w:rsid w:val="366B713C"/>
    <w:rsid w:val="3677231F"/>
    <w:rsid w:val="368C0EE8"/>
    <w:rsid w:val="36CA5B1B"/>
    <w:rsid w:val="373E2203"/>
    <w:rsid w:val="378E45D5"/>
    <w:rsid w:val="381F0910"/>
    <w:rsid w:val="38973808"/>
    <w:rsid w:val="38D75B70"/>
    <w:rsid w:val="39CB3889"/>
    <w:rsid w:val="3A053FB1"/>
    <w:rsid w:val="3A4A536A"/>
    <w:rsid w:val="3A803597"/>
    <w:rsid w:val="3A946897"/>
    <w:rsid w:val="3BB718A6"/>
    <w:rsid w:val="3D8C6FA3"/>
    <w:rsid w:val="3EF94085"/>
    <w:rsid w:val="3FAF13AE"/>
    <w:rsid w:val="40DC43C3"/>
    <w:rsid w:val="41EF7327"/>
    <w:rsid w:val="44613C99"/>
    <w:rsid w:val="44BC24E7"/>
    <w:rsid w:val="453C7BAC"/>
    <w:rsid w:val="46CC55B7"/>
    <w:rsid w:val="473C5322"/>
    <w:rsid w:val="48046EB6"/>
    <w:rsid w:val="48BB02CE"/>
    <w:rsid w:val="49706721"/>
    <w:rsid w:val="4A1B668D"/>
    <w:rsid w:val="4D1540B5"/>
    <w:rsid w:val="4D31441A"/>
    <w:rsid w:val="4D3A5070"/>
    <w:rsid w:val="4DE46930"/>
    <w:rsid w:val="4DE80728"/>
    <w:rsid w:val="4DEB03E3"/>
    <w:rsid w:val="4E1565FF"/>
    <w:rsid w:val="4EA03605"/>
    <w:rsid w:val="4F295233"/>
    <w:rsid w:val="4FA50603"/>
    <w:rsid w:val="4FB15476"/>
    <w:rsid w:val="50163700"/>
    <w:rsid w:val="509C3084"/>
    <w:rsid w:val="51024C94"/>
    <w:rsid w:val="514D3684"/>
    <w:rsid w:val="526572EF"/>
    <w:rsid w:val="5284061D"/>
    <w:rsid w:val="52B61649"/>
    <w:rsid w:val="52BF46A2"/>
    <w:rsid w:val="533777CA"/>
    <w:rsid w:val="535C190D"/>
    <w:rsid w:val="55AC361A"/>
    <w:rsid w:val="57095CAB"/>
    <w:rsid w:val="57696212"/>
    <w:rsid w:val="57CA363F"/>
    <w:rsid w:val="57CB5604"/>
    <w:rsid w:val="57E92FD2"/>
    <w:rsid w:val="58B05895"/>
    <w:rsid w:val="59730C5B"/>
    <w:rsid w:val="5A4D7877"/>
    <w:rsid w:val="5AE06A77"/>
    <w:rsid w:val="5AF35411"/>
    <w:rsid w:val="5B084A0C"/>
    <w:rsid w:val="5B0C0E65"/>
    <w:rsid w:val="5B6F6839"/>
    <w:rsid w:val="5BFF64F8"/>
    <w:rsid w:val="5CA861DC"/>
    <w:rsid w:val="5CC64A5D"/>
    <w:rsid w:val="5CC64F3B"/>
    <w:rsid w:val="5D073323"/>
    <w:rsid w:val="608B4D11"/>
    <w:rsid w:val="612D193D"/>
    <w:rsid w:val="616F1A12"/>
    <w:rsid w:val="6236396F"/>
    <w:rsid w:val="63AD76AF"/>
    <w:rsid w:val="641F4B74"/>
    <w:rsid w:val="641F7CE8"/>
    <w:rsid w:val="6532636D"/>
    <w:rsid w:val="65CB3A93"/>
    <w:rsid w:val="66325846"/>
    <w:rsid w:val="66E109BD"/>
    <w:rsid w:val="67243E12"/>
    <w:rsid w:val="6758790D"/>
    <w:rsid w:val="68A64BAA"/>
    <w:rsid w:val="68B90462"/>
    <w:rsid w:val="691F0BCF"/>
    <w:rsid w:val="695B09E4"/>
    <w:rsid w:val="69ED0829"/>
    <w:rsid w:val="6B2E6321"/>
    <w:rsid w:val="6C1D4F27"/>
    <w:rsid w:val="6C280FEF"/>
    <w:rsid w:val="6D8904DF"/>
    <w:rsid w:val="6D9335D5"/>
    <w:rsid w:val="6DF27CFB"/>
    <w:rsid w:val="6E447975"/>
    <w:rsid w:val="6E843D14"/>
    <w:rsid w:val="6E8474D1"/>
    <w:rsid w:val="6EE77313"/>
    <w:rsid w:val="6FF234DF"/>
    <w:rsid w:val="6FFD1780"/>
    <w:rsid w:val="71474BEC"/>
    <w:rsid w:val="72070C4B"/>
    <w:rsid w:val="72A30F4A"/>
    <w:rsid w:val="72AA6A89"/>
    <w:rsid w:val="72B702B0"/>
    <w:rsid w:val="73421BA9"/>
    <w:rsid w:val="73AF484E"/>
    <w:rsid w:val="742A559B"/>
    <w:rsid w:val="742C32E6"/>
    <w:rsid w:val="74707AFC"/>
    <w:rsid w:val="74BF0636"/>
    <w:rsid w:val="750422E5"/>
    <w:rsid w:val="754467F1"/>
    <w:rsid w:val="754B1E0A"/>
    <w:rsid w:val="75D94B83"/>
    <w:rsid w:val="770F1F64"/>
    <w:rsid w:val="77780865"/>
    <w:rsid w:val="782C52DF"/>
    <w:rsid w:val="78BC75AE"/>
    <w:rsid w:val="78F51215"/>
    <w:rsid w:val="79350C82"/>
    <w:rsid w:val="79747D71"/>
    <w:rsid w:val="798E2128"/>
    <w:rsid w:val="79F53325"/>
    <w:rsid w:val="7A831D0B"/>
    <w:rsid w:val="7C947B86"/>
    <w:rsid w:val="7CC04CEF"/>
    <w:rsid w:val="7D24527D"/>
    <w:rsid w:val="7DE440D5"/>
    <w:rsid w:val="7DF10ED8"/>
    <w:rsid w:val="7E6D440C"/>
    <w:rsid w:val="7E927FC5"/>
    <w:rsid w:val="7EA41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 w:hAnsi="仿宋" w:eastAsia="仿宋" w:cs="仿宋"/>
      <w:sz w:val="22"/>
      <w:szCs w:val="22"/>
      <w:lang w:val="en-US" w:eastAsia="en-US" w:bidi="ar-SA"/>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5"/>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6"/>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7"/>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8"/>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9"/>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43"/>
    <w:qFormat/>
    <w:uiPriority w:val="1"/>
    <w:pPr>
      <w:ind w:left="100"/>
    </w:pPr>
    <w:rPr>
      <w:sz w:val="28"/>
      <w:szCs w:val="28"/>
    </w:rPr>
  </w:style>
  <w:style w:type="paragraph" w:styleId="12">
    <w:name w:val="toc 3"/>
    <w:basedOn w:val="1"/>
    <w:qFormat/>
    <w:uiPriority w:val="39"/>
    <w:pPr>
      <w:spacing w:before="174"/>
      <w:ind w:left="659"/>
    </w:pPr>
    <w:rPr>
      <w:sz w:val="28"/>
      <w:szCs w:val="28"/>
    </w:rPr>
  </w:style>
  <w:style w:type="paragraph" w:styleId="13">
    <w:name w:val="footer"/>
    <w:basedOn w:val="1"/>
    <w:link w:val="46"/>
    <w:unhideWhenUsed/>
    <w:qFormat/>
    <w:uiPriority w:val="99"/>
    <w:pPr>
      <w:tabs>
        <w:tab w:val="center" w:pos="4153"/>
        <w:tab w:val="right" w:pos="8306"/>
      </w:tabs>
      <w:snapToGrid w:val="0"/>
    </w:pPr>
    <w:rPr>
      <w:sz w:val="18"/>
      <w:szCs w:val="18"/>
    </w:rPr>
  </w:style>
  <w:style w:type="paragraph" w:styleId="14">
    <w:name w:val="header"/>
    <w:basedOn w:val="1"/>
    <w:link w:val="45"/>
    <w:unhideWhenUsed/>
    <w:qFormat/>
    <w:uiPriority w:val="99"/>
    <w:pPr>
      <w:tabs>
        <w:tab w:val="center" w:pos="4153"/>
        <w:tab w:val="right" w:pos="8306"/>
      </w:tabs>
      <w:snapToGrid w:val="0"/>
      <w:jc w:val="center"/>
    </w:pPr>
    <w:rPr>
      <w:sz w:val="18"/>
      <w:szCs w:val="18"/>
    </w:rPr>
  </w:style>
  <w:style w:type="paragraph" w:styleId="15">
    <w:name w:val="toc 1"/>
    <w:basedOn w:val="1"/>
    <w:qFormat/>
    <w:uiPriority w:val="39"/>
    <w:pPr>
      <w:spacing w:before="196"/>
      <w:ind w:right="304"/>
      <w:jc w:val="center"/>
    </w:pPr>
    <w:rPr>
      <w:rFonts w:ascii="微软雅黑" w:hAnsi="微软雅黑" w:eastAsia="微软雅黑" w:cs="微软雅黑"/>
      <w:b/>
      <w:bCs/>
      <w:sz w:val="28"/>
      <w:szCs w:val="28"/>
    </w:rPr>
  </w:style>
  <w:style w:type="paragraph" w:styleId="16">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oc 2"/>
    <w:basedOn w:val="1"/>
    <w:qFormat/>
    <w:uiPriority w:val="39"/>
    <w:pPr>
      <w:spacing w:before="104"/>
      <w:ind w:left="100"/>
    </w:pPr>
    <w:rPr>
      <w:rFonts w:ascii="微软雅黑" w:hAnsi="微软雅黑" w:eastAsia="微软雅黑" w:cs="微软雅黑"/>
      <w:b/>
      <w:bCs/>
      <w:sz w:val="28"/>
      <w:szCs w:val="28"/>
    </w:rPr>
  </w:style>
  <w:style w:type="paragraph" w:styleId="18">
    <w:name w:val="Normal (Web)"/>
    <w:basedOn w:val="1"/>
    <w:semiHidden/>
    <w:unhideWhenUsed/>
    <w:qFormat/>
    <w:uiPriority w:val="99"/>
    <w:rPr>
      <w:rFonts w:ascii="Times New Roman" w:hAnsi="Times New Roman" w:cs="Times New Roman"/>
      <w:sz w:val="24"/>
      <w:szCs w:val="24"/>
    </w:rPr>
  </w:style>
  <w:style w:type="paragraph" w:styleId="19">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2">
    <w:name w:val="line number"/>
    <w:basedOn w:val="21"/>
    <w:semiHidden/>
    <w:unhideWhenUsed/>
    <w:qFormat/>
    <w:uiPriority w:val="99"/>
  </w:style>
  <w:style w:type="character" w:styleId="23">
    <w:name w:val="Hyperlink"/>
    <w:basedOn w:val="21"/>
    <w:unhideWhenUsed/>
    <w:qFormat/>
    <w:uiPriority w:val="99"/>
    <w:rPr>
      <w:color w:val="467886" w:themeColor="hyperlink"/>
      <w:u w:val="single"/>
      <w14:textFill>
        <w14:solidFill>
          <w14:schemeClr w14:val="hlink"/>
        </w14:solidFill>
      </w14:textFill>
    </w:rPr>
  </w:style>
  <w:style w:type="character" w:customStyle="1" w:styleId="24">
    <w:name w:val="标题 1 字符"/>
    <w:basedOn w:val="21"/>
    <w:link w:val="2"/>
    <w:qFormat/>
    <w:uiPriority w:val="9"/>
    <w:rPr>
      <w:rFonts w:asciiTheme="majorHAnsi" w:hAnsiTheme="majorHAnsi" w:eastAsiaTheme="majorEastAsia" w:cstheme="majorBidi"/>
      <w:color w:val="104862" w:themeColor="accent1" w:themeShade="BF"/>
      <w:sz w:val="48"/>
      <w:szCs w:val="48"/>
    </w:rPr>
  </w:style>
  <w:style w:type="character" w:customStyle="1" w:styleId="25">
    <w:name w:val="标题 2 字符"/>
    <w:basedOn w:val="21"/>
    <w:link w:val="3"/>
    <w:qFormat/>
    <w:uiPriority w:val="9"/>
    <w:rPr>
      <w:rFonts w:asciiTheme="majorHAnsi" w:hAnsiTheme="majorHAnsi" w:eastAsiaTheme="majorEastAsia" w:cstheme="majorBidi"/>
      <w:color w:val="104862" w:themeColor="accent1" w:themeShade="BF"/>
      <w:sz w:val="40"/>
      <w:szCs w:val="40"/>
    </w:rPr>
  </w:style>
  <w:style w:type="character" w:customStyle="1" w:styleId="26">
    <w:name w:val="标题 3 字符"/>
    <w:basedOn w:val="21"/>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7">
    <w:name w:val="标题 4 字符"/>
    <w:basedOn w:val="21"/>
    <w:link w:val="5"/>
    <w:qFormat/>
    <w:uiPriority w:val="9"/>
    <w:rPr>
      <w:rFonts w:cstheme="majorBidi"/>
      <w:color w:val="104862" w:themeColor="accent1" w:themeShade="BF"/>
      <w:sz w:val="28"/>
      <w:szCs w:val="28"/>
    </w:rPr>
  </w:style>
  <w:style w:type="character" w:customStyle="1" w:styleId="28">
    <w:name w:val="标题 5 字符"/>
    <w:basedOn w:val="21"/>
    <w:link w:val="6"/>
    <w:semiHidden/>
    <w:qFormat/>
    <w:uiPriority w:val="9"/>
    <w:rPr>
      <w:rFonts w:cstheme="majorBidi"/>
      <w:color w:val="104862" w:themeColor="accent1" w:themeShade="BF"/>
      <w:sz w:val="24"/>
      <w:szCs w:val="24"/>
    </w:rPr>
  </w:style>
  <w:style w:type="character" w:customStyle="1" w:styleId="29">
    <w:name w:val="标题 6 字符"/>
    <w:basedOn w:val="21"/>
    <w:link w:val="7"/>
    <w:semiHidden/>
    <w:qFormat/>
    <w:uiPriority w:val="9"/>
    <w:rPr>
      <w:rFonts w:cstheme="majorBidi"/>
      <w:b/>
      <w:bCs/>
      <w:color w:val="104862" w:themeColor="accent1" w:themeShade="BF"/>
    </w:rPr>
  </w:style>
  <w:style w:type="character" w:customStyle="1" w:styleId="30">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9"/>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1"/>
    <w:pPr>
      <w:ind w:left="720"/>
      <w:contextualSpacing/>
    </w:pPr>
  </w:style>
  <w:style w:type="character" w:customStyle="1" w:styleId="38">
    <w:name w:val="明显强调1"/>
    <w:basedOn w:val="21"/>
    <w:qFormat/>
    <w:uiPriority w:val="21"/>
    <w:rPr>
      <w:i/>
      <w:iCs/>
      <w:color w:val="104862" w:themeColor="accent1" w:themeShade="BF"/>
    </w:rPr>
  </w:style>
  <w:style w:type="paragraph" w:styleId="39">
    <w:name w:val="Intense Quote"/>
    <w:basedOn w:val="1"/>
    <w:next w:val="1"/>
    <w:link w:val="4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0">
    <w:name w:val="明显引用 字符"/>
    <w:basedOn w:val="21"/>
    <w:link w:val="39"/>
    <w:qFormat/>
    <w:uiPriority w:val="30"/>
    <w:rPr>
      <w:i/>
      <w:iCs/>
      <w:color w:val="104862" w:themeColor="accent1" w:themeShade="BF"/>
    </w:rPr>
  </w:style>
  <w:style w:type="character" w:customStyle="1" w:styleId="41">
    <w:name w:val="明显参考1"/>
    <w:basedOn w:val="21"/>
    <w:qFormat/>
    <w:uiPriority w:val="32"/>
    <w:rPr>
      <w:b/>
      <w:bCs/>
      <w:smallCaps/>
      <w:color w:val="104862" w:themeColor="accent1" w:themeShade="BF"/>
      <w:spacing w:val="5"/>
    </w:rPr>
  </w:style>
  <w:style w:type="table" w:customStyle="1" w:styleId="42">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43">
    <w:name w:val="正文文本 字符"/>
    <w:basedOn w:val="21"/>
    <w:link w:val="11"/>
    <w:qFormat/>
    <w:uiPriority w:val="1"/>
    <w:rPr>
      <w:rFonts w:ascii="仿宋" w:hAnsi="仿宋" w:eastAsia="仿宋" w:cs="仿宋"/>
      <w:kern w:val="0"/>
      <w:sz w:val="28"/>
      <w:szCs w:val="28"/>
      <w:lang w:eastAsia="en-US"/>
    </w:rPr>
  </w:style>
  <w:style w:type="paragraph" w:customStyle="1" w:styleId="44">
    <w:name w:val="Table Paragraph"/>
    <w:basedOn w:val="1"/>
    <w:qFormat/>
    <w:uiPriority w:val="1"/>
    <w:pPr>
      <w:jc w:val="center"/>
    </w:pPr>
  </w:style>
  <w:style w:type="character" w:customStyle="1" w:styleId="45">
    <w:name w:val="页眉 字符"/>
    <w:basedOn w:val="21"/>
    <w:link w:val="14"/>
    <w:qFormat/>
    <w:uiPriority w:val="99"/>
    <w:rPr>
      <w:rFonts w:ascii="仿宋" w:hAnsi="仿宋" w:eastAsia="仿宋" w:cs="仿宋"/>
      <w:kern w:val="0"/>
      <w:sz w:val="18"/>
      <w:szCs w:val="18"/>
      <w:lang w:eastAsia="en-US"/>
    </w:rPr>
  </w:style>
  <w:style w:type="character" w:customStyle="1" w:styleId="46">
    <w:name w:val="页脚 字符"/>
    <w:basedOn w:val="21"/>
    <w:link w:val="13"/>
    <w:qFormat/>
    <w:uiPriority w:val="99"/>
    <w:rPr>
      <w:rFonts w:ascii="仿宋" w:hAnsi="仿宋" w:eastAsia="仿宋" w:cs="仿宋"/>
      <w:kern w:val="0"/>
      <w:sz w:val="18"/>
      <w:szCs w:val="18"/>
      <w:lang w:eastAsia="en-US"/>
    </w:rPr>
  </w:style>
  <w:style w:type="paragraph" w:customStyle="1" w:styleId="47">
    <w:name w:val="TOC Heading"/>
    <w:basedOn w:val="2"/>
    <w:next w:val="1"/>
    <w:unhideWhenUsed/>
    <w:qFormat/>
    <w:uiPriority w:val="39"/>
    <w:pPr>
      <w:widowControl/>
      <w:autoSpaceDE/>
      <w:autoSpaceDN/>
      <w:spacing w:before="240" w:after="0" w:line="259" w:lineRule="auto"/>
      <w:outlineLvl w:val="9"/>
    </w:pPr>
    <w:rPr>
      <w:sz w:val="32"/>
      <w:szCs w:val="32"/>
      <w:lang w:eastAsia="zh-CN"/>
    </w:rPr>
  </w:style>
  <w:style w:type="character" w:customStyle="1" w:styleId="48">
    <w:name w:val="Unresolved Mention"/>
    <w:basedOn w:val="21"/>
    <w:semiHidden/>
    <w:unhideWhenUsed/>
    <w:qFormat/>
    <w:uiPriority w:val="99"/>
    <w:rPr>
      <w:color w:val="605E5C"/>
      <w:shd w:val="clear" w:color="auto" w:fill="E1DFDD"/>
    </w:rPr>
  </w:style>
  <w:style w:type="paragraph" w:customStyle="1" w:styleId="49">
    <w:name w:val="列出段落1"/>
    <w:basedOn w:val="1"/>
    <w:qFormat/>
    <w:uiPriority w:val="1"/>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02B4FD-05CD-4E14-B62E-8550B9DFCAA3}">
  <ds:schemaRefs/>
</ds:datastoreItem>
</file>

<file path=docProps/app.xml><?xml version="1.0" encoding="utf-8"?>
<Properties xmlns="http://schemas.openxmlformats.org/officeDocument/2006/extended-properties" xmlns:vt="http://schemas.openxmlformats.org/officeDocument/2006/docPropsVTypes">
  <Template>Normal</Template>
  <Pages>50</Pages>
  <Words>28384</Words>
  <Characters>30044</Characters>
  <Lines>1216</Lines>
  <Paragraphs>1070</Paragraphs>
  <TotalTime>14</TotalTime>
  <ScaleCrop>false</ScaleCrop>
  <LinksUpToDate>false</LinksUpToDate>
  <CharactersWithSpaces>30691</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2025-08-20T02:45:00Z</dcterms:created>
  <dc:creator>Administrator</dc:creator>
  <cp:lastModifiedBy>lnfj</cp:lastModifiedBy>
  <cp:lastPrinted>2026-03-31T08:52:18Z</cp:lastPrinted>
  <dcterms:modified xsi:type="dcterms:W3CDTF">2026-03-31T09:06:11Z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eyJoZGlkIjoiODM5ODE5NzYwNDZhNDQ4OWQ1NmNiM2M3NzNmZGJiMzUiLCJ1c2VySWQiOiIxMjA1MTM1NTUwIn0=</vt:lpwstr>
  </property>
  <property fmtid="{D5CDD505-2E9C-101B-9397-08002B2CF9AE}" pid="3" name="KSOProductBuildVer">
    <vt:lpwstr>2052-12.8.2.18606</vt:lpwstr>
  </property>
  <property fmtid="{D5CDD505-2E9C-101B-9397-08002B2CF9AE}" pid="4" name="ICV">
    <vt:lpwstr>74A4DCE119554BCAA1A0B08F260360C9_13</vt:lpwstr>
  </property>
</Properties>
</file>