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Times New Roman" w:hAnsi="Times New Roman" w:cs="Times New Roman"/>
        </w:rPr>
      </w:pPr>
      <w:bookmarkStart w:id="0" w:name="_GoBack"/>
      <w:r>
        <w:rPr>
          <w:rFonts w:hint="eastAsia" w:ascii="仿宋_GB2312" w:hAnsi="宋体" w:eastAsia="仿宋_GB2312"/>
          <w:bCs/>
          <w:sz w:val="32"/>
          <w:szCs w:val="32"/>
        </w:rPr>
        <w:t>柳南政发〔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bidi="th-TH"/>
        </w:rPr>
        <w:t>202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eastAsia="zh-CN" w:bidi="th-TH"/>
        </w:rPr>
        <w:t>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6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bidi="th-T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bidi="th-T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bidi="th-TH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bidi="th-TH"/>
        </w:rPr>
        <w:t>柳州市柳南区人民政府关于公布第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eastAsia="zh-CN" w:bidi="th-TH"/>
        </w:rPr>
        <w:t>三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bidi="th-TH"/>
        </w:rPr>
        <w:t>批城区级非物质文化遗产代表性项目名录的通知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bidi="th-T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bidi="th-TH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各镇人民政府、街道办事处，区政府各部门</w:t>
      </w:r>
      <w:r>
        <w:rPr>
          <w:rFonts w:hint="eastAsia" w:ascii="仿宋_GB2312" w:hAnsi="Times New Roman" w:eastAsia="仿宋_GB2312" w:cs="Times New Roman"/>
          <w:sz w:val="32"/>
          <w:szCs w:val="32"/>
          <w:lang w:bidi="th-TH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bidi="th-TH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流山壮欢山歌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柳州李氏传统木作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太阳村镇螺田米种植技术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“洛满镇赶圩日”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个项目具有较高的历史、文化价值及鲜明的地方特色，对我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各民族文化传承具有重要意义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。经研究，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 w:bidi="th-TH"/>
        </w:rPr>
        <w:t>现对“流山壮欢山歌”等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th-TH"/>
        </w:rPr>
        <w:t>四个第三批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城区级非物质文化遗产代表性项目名录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 w:bidi="th-TH"/>
        </w:rPr>
        <w:t>予以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 w:bidi="th-TH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各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th-TH"/>
        </w:rPr>
        <w:t>有关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单位要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 w:bidi="th-TH"/>
        </w:rPr>
        <w:t>深入学习贯彻习近平新时代中国特色社会主义思想，按照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《中华人民共和国非物质文化遗产法》和《广西壮族自治区非物质文化遗产保护条例》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 w:bidi="th-TH"/>
        </w:rPr>
        <w:t>要求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，认真贯彻“保护为主、抢救第一、合理利用、传承发展”的工作方针，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 w:bidi="th-TH"/>
        </w:rPr>
        <w:t>切实做好非物质文化遗产代表性项目的保护、管理和传承工作，为弘扬中华优秀传统文化，满足人民群众日益增长的文化需求，推动我区文化大发展、大繁荣作出新的贡献。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附件：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th-TH"/>
        </w:rPr>
        <w:t>柳州市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柳南区第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 w:bidi="th-TH"/>
        </w:rPr>
        <w:t>三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批城区级非物质文化遗产代表性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609" w:firstLineChars="503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bidi="th-TH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bidi="th-TH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eastAsia" w:ascii="仿宋_GB2312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bidi="th-TH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th-TH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th-TH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bidi="th-TH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th-TH"/>
        </w:rPr>
        <w:t xml:space="preserve">  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柳州市柳南区人民政府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bidi="th-TH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bidi="th-TH"/>
        </w:rPr>
        <w:t xml:space="preserve">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th-TH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bidi="th-TH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bidi="th-TH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th-TH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th-TH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th-TH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bidi="th-TH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th-T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rPr>
          <w:rFonts w:ascii="Times New Roman" w:hAnsi="仿宋_GB2312" w:eastAsia="仿宋_GB2312" w:cs="Times New Roman"/>
          <w:sz w:val="32"/>
          <w:szCs w:val="32"/>
          <w:lang w:bidi="th-TH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ascii="Times New Roman" w:hAnsi="仿宋_GB2312" w:eastAsia="仿宋_GB2312" w:cs="Times New Roman"/>
          <w:sz w:val="32"/>
          <w:szCs w:val="32"/>
          <w:lang w:bidi="th-TH"/>
        </w:rPr>
      </w:pPr>
    </w:p>
    <w:p>
      <w:pPr>
        <w:rPr>
          <w:rFonts w:ascii="Times New Roman" w:hAnsi="仿宋_GB2312" w:eastAsia="仿宋_GB2312" w:cs="Times New Roman"/>
          <w:sz w:val="32"/>
          <w:szCs w:val="32"/>
          <w:lang w:bidi="th-TH"/>
        </w:rPr>
      </w:pPr>
    </w:p>
    <w:p>
      <w:pPr>
        <w:pStyle w:val="3"/>
        <w:rPr>
          <w:rFonts w:ascii="Times New Roman" w:hAnsi="仿宋_GB2312" w:eastAsia="仿宋_GB2312" w:cs="Times New Roman"/>
          <w:sz w:val="32"/>
          <w:szCs w:val="32"/>
          <w:lang w:bidi="th-TH"/>
        </w:rPr>
      </w:pPr>
    </w:p>
    <w:p>
      <w:pPr>
        <w:rPr>
          <w:rFonts w:ascii="Times New Roman" w:hAnsi="仿宋_GB2312" w:eastAsia="仿宋_GB2312" w:cs="Times New Roman"/>
          <w:sz w:val="32"/>
          <w:szCs w:val="32"/>
          <w:lang w:bidi="th-TH"/>
        </w:rPr>
      </w:pPr>
    </w:p>
    <w:p>
      <w:pPr>
        <w:pStyle w:val="3"/>
        <w:spacing w:afterLines="100"/>
        <w:rPr>
          <w:rFonts w:ascii="Times New Roman" w:hAnsi="仿宋_GB2312" w:eastAsia="仿宋_GB2312" w:cs="Times New Roman"/>
          <w:sz w:val="32"/>
          <w:szCs w:val="32"/>
          <w:lang w:bidi="th-TH"/>
        </w:rPr>
      </w:pPr>
    </w:p>
    <w:p>
      <w:pPr>
        <w:spacing w:afterLines="100"/>
        <w:rPr>
          <w:rFonts w:ascii="Times New Roman" w:hAnsi="仿宋_GB2312" w:eastAsia="仿宋_GB2312" w:cs="Times New Roman"/>
          <w:sz w:val="32"/>
          <w:szCs w:val="32"/>
          <w:lang w:bidi="th-TH"/>
        </w:rPr>
      </w:pPr>
    </w:p>
    <w:p>
      <w:pPr>
        <w:pStyle w:val="3"/>
        <w:spacing w:afterLines="100"/>
        <w:jc w:val="both"/>
      </w:pPr>
    </w:p>
    <w:p>
      <w:pPr>
        <w:spacing w:line="580" w:lineRule="exact"/>
        <w:rPr>
          <w:rFonts w:ascii="黑体" w:hAnsi="黑体" w:eastAsia="黑体" w:cs="仿宋_GB2312"/>
          <w:sz w:val="32"/>
          <w:szCs w:val="32"/>
          <w:lang w:bidi="th-TH"/>
        </w:rPr>
      </w:pPr>
    </w:p>
    <w:p>
      <w:pPr>
        <w:pStyle w:val="3"/>
        <w:rPr>
          <w:rFonts w:ascii="黑体" w:hAnsi="黑体" w:eastAsia="黑体" w:cs="仿宋_GB2312"/>
          <w:sz w:val="32"/>
          <w:szCs w:val="32"/>
          <w:lang w:bidi="th-TH"/>
        </w:rPr>
      </w:pPr>
    </w:p>
    <w:p>
      <w:pPr>
        <w:rPr>
          <w:rFonts w:ascii="黑体" w:hAnsi="黑体" w:eastAsia="黑体" w:cs="仿宋_GB2312"/>
          <w:sz w:val="32"/>
          <w:szCs w:val="32"/>
          <w:lang w:bidi="th-TH"/>
        </w:rPr>
      </w:pPr>
    </w:p>
    <w:p>
      <w:pPr>
        <w:pStyle w:val="3"/>
        <w:rPr>
          <w:rFonts w:ascii="黑体" w:hAnsi="黑体" w:eastAsia="黑体" w:cs="仿宋_GB2312"/>
          <w:sz w:val="32"/>
          <w:szCs w:val="32"/>
          <w:lang w:bidi="th-TH"/>
        </w:rPr>
      </w:pPr>
    </w:p>
    <w:p>
      <w:pPr>
        <w:rPr>
          <w:rFonts w:ascii="黑体" w:hAnsi="黑体" w:eastAsia="黑体" w:cs="仿宋_GB2312"/>
          <w:sz w:val="32"/>
          <w:szCs w:val="32"/>
          <w:lang w:bidi="th-TH"/>
        </w:rPr>
      </w:pPr>
    </w:p>
    <w:p>
      <w:pPr>
        <w:pStyle w:val="3"/>
      </w:pPr>
    </w:p>
    <w:p>
      <w:pPr>
        <w:pStyle w:val="3"/>
        <w:rPr>
          <w:rFonts w:hint="eastAsia"/>
          <w:lang w:bidi="th-TH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lang w:bidi="th-TH"/>
        </w:rPr>
      </w:pPr>
      <w:r>
        <w:rPr>
          <w:rFonts w:hint="eastAsia" w:ascii="黑体" w:hAnsi="黑体" w:eastAsia="黑体" w:cs="黑体"/>
          <w:sz w:val="32"/>
          <w:szCs w:val="32"/>
          <w:lang w:bidi="th-TH"/>
        </w:rPr>
        <w:t>附件</w:t>
      </w:r>
    </w:p>
    <w:p/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柳州市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柳南区第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批城区级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非物质文化遗产代表性项目名录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eastAsia="楷体_GB2312"/>
          <w:sz w:val="32"/>
        </w:rPr>
        <w:t>（共计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th-TH"/>
        </w:rPr>
        <w:t>4</w:t>
      </w:r>
      <w:r>
        <w:rPr>
          <w:rFonts w:hint="eastAsia" w:eastAsia="楷体_GB2312"/>
          <w:sz w:val="32"/>
        </w:rPr>
        <w:t>项）</w:t>
      </w:r>
    </w:p>
    <w:tbl>
      <w:tblPr>
        <w:tblStyle w:val="5"/>
        <w:tblpPr w:leftFromText="180" w:rightFromText="180" w:vertAnchor="text" w:horzAnchor="page" w:tblpX="925" w:tblpY="392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30"/>
        <w:gridCol w:w="390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55" w:type="dxa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5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柳州李氏传统木作</w:t>
            </w: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85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太阳村镇螺田米种植技术</w:t>
            </w: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太阳村镇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85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流山壮欢山歌</w:t>
            </w: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流山镇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85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民俗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洛满镇赶圩日</w:t>
            </w: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洛满镇</w:t>
            </w:r>
          </w:p>
        </w:tc>
      </w:tr>
    </w:tbl>
    <w:p>
      <w:pPr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pStyle w:val="3"/>
        <w:rPr>
          <w:rFonts w:ascii="方正小标宋简体" w:hAnsi="宋体" w:eastAsia="方正小标宋简体" w:cs="宋体"/>
          <w:sz w:val="36"/>
          <w:szCs w:val="36"/>
        </w:rPr>
      </w:pPr>
    </w:p>
    <w:p>
      <w:pPr>
        <w:pStyle w:val="3"/>
        <w:spacing w:afterLines="50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afterLines="50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400" w:lineRule="exact"/>
      </w:pPr>
    </w:p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>
      <w:pPr>
        <w:pStyle w:val="3"/>
      </w:pPr>
    </w:p>
    <w:p>
      <w:pPr>
        <w:spacing w:line="4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238760</wp:posOffset>
                </wp:positionV>
                <wp:extent cx="5586095" cy="17780"/>
                <wp:effectExtent l="0" t="4445" r="14605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8380" y="9342755"/>
                          <a:ext cx="5586095" cy="17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18.8pt;height:1.4pt;width:439.85pt;z-index:251659264;mso-width-relative:page;mso-height-relative:page;" filled="f" stroked="t" coordsize="21600,21600" o:gfxdata="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QGnSbUAAAABgEAAA8AAAAAAAAAAQAgAAAAIgAAAGRycy9kb3ducmV2LnhtbFBL&#10;AQIUABQAAAAIAIdO4kACxTdF+gEAAM8DAAAOAAAAAAAAAAEAIAAAACMBAABkcnMvZTJvRG9jLnht&#10;bFBLBQYAAAAABgAGAFkBAACP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8"/>
          <w:szCs w:val="28"/>
        </w:rPr>
        <w:t>政府信息公开选项：主动公开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 xml:space="preserve">                      </w:t>
      </w:r>
    </w:p>
    <w:p>
      <w:pPr>
        <w:spacing w:line="400" w:lineRule="exact"/>
        <w:ind w:firstLine="280" w:firstLineChars="100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269875</wp:posOffset>
                </wp:positionV>
                <wp:extent cx="5586730" cy="10160"/>
                <wp:effectExtent l="0" t="4445" r="13970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8380" y="9666605"/>
                          <a:ext cx="558673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21.25pt;height:0.8pt;width:439.9pt;z-index:251660288;mso-width-relative:page;mso-height-relative:page;" filled="f" stroked="t" coordsize="21600,21600" o:gfxdata="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0/fn1AAAAAcBAAAPAAAAAAAAAAEAIAAAACIAAABkcnMvZG93bnJldi54bWxQSwEC&#10;FAAUAAAACACHTuJAYJBat/gBAADPAwAADgAAAAAAAAABACAAAAAj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柳州市柳南区人民政府办公室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26670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1pt;margin-top:-6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CrMrNcAAAAJAQAADwAAAAAAAAABACAAAAAiAAAAZHJzL2Rvd25y&#10;ZXYueG1sUEsBAhQAFAAAAAgAh07iQF4aj184AgAAb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2JkZDkwODY1NjcwMTMzYzkzYmZhMmRjMzQyZjYifQ=="/>
  </w:docVars>
  <w:rsids>
    <w:rsidRoot w:val="00000000"/>
    <w:rsid w:val="16A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kern w:val="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温暖</cp:lastModifiedBy>
  <dcterms:modified xsi:type="dcterms:W3CDTF">2023-07-21T03:10:41Z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0ED31F2573474118979F8B8780655CDB_13</vt:lpwstr>
  </property>
</Properties>
</file>